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5F" w:rsidRDefault="003058B3">
      <w:pPr>
        <w:pStyle w:val="Default"/>
        <w:ind w:left="2832" w:firstLine="708"/>
        <w:rPr>
          <w:b/>
          <w:bCs/>
          <w:sz w:val="28"/>
          <w:szCs w:val="28"/>
        </w:rPr>
      </w:pPr>
      <w: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>
          <v:shape id="ole_rId2" o:spid="_x0000_s1026" type="#_x0000_tole_rId2" style="position:absolute;left:0;text-align:left;margin-left:-50.15pt;margin-top:.3pt;width:497.85pt;height:105.1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/>
          </v:shape>
          <o:OLEObject Type="Embed" ProgID="Word.Document.8" ShapeID="ole_rId2" DrawAspect="Content" ObjectID="_1802156942" r:id="rId9"/>
        </w:object>
      </w:r>
      <w:r>
        <w:rPr>
          <w:b/>
          <w:bCs/>
          <w:sz w:val="28"/>
          <w:szCs w:val="28"/>
        </w:rPr>
        <w:t>ДОГОВОР</w:t>
      </w:r>
    </w:p>
    <w:p w:rsidR="00A8355F" w:rsidRDefault="003058B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ВЪЗЛАГАНЕ УПРАВЛЕНИЕТО НА СОЦИАЛНИ УСЛУГИ</w:t>
      </w:r>
    </w:p>
    <w:p w:rsidR="00A8355F" w:rsidRDefault="00A8355F">
      <w:pPr>
        <w:pStyle w:val="Default"/>
        <w:jc w:val="both"/>
      </w:pPr>
    </w:p>
    <w:p w:rsidR="00A8355F" w:rsidRDefault="003058B3">
      <w:pPr>
        <w:pStyle w:val="Default"/>
        <w:spacing w:before="120" w:after="240"/>
        <w:jc w:val="both"/>
        <w:rPr>
          <w:lang w:val="en-US"/>
        </w:rPr>
      </w:pPr>
      <w:r>
        <w:t>Днес, ……………….. г. в гр. Балчик между:</w:t>
      </w:r>
    </w:p>
    <w:p w:rsidR="00A8355F" w:rsidRDefault="003058B3">
      <w:pPr>
        <w:shd w:val="clear" w:color="auto" w:fill="FFFFFF"/>
        <w:contextualSpacing/>
        <w:jc w:val="both"/>
        <w:rPr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ОБЩИНА БАЛЧИК</w:t>
      </w:r>
      <w:r>
        <w:rPr>
          <w:sz w:val="25"/>
          <w:szCs w:val="25"/>
        </w:rPr>
        <w:t>,</w:t>
      </w:r>
      <w:r>
        <w:rPr>
          <w:sz w:val="25"/>
          <w:szCs w:val="25"/>
          <w:lang w:eastAsia="en-US"/>
        </w:rPr>
        <w:t xml:space="preserve"> със седалище и адрес на управление: град Балчик, област Добрич, пл. „21-ви септември“ № 6, ЕИК: </w:t>
      </w:r>
      <w:r>
        <w:rPr>
          <w:rFonts w:eastAsia="SimSun"/>
          <w:sz w:val="25"/>
          <w:szCs w:val="25"/>
          <w:lang w:eastAsia="ar-SA"/>
        </w:rPr>
        <w:t>000852544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пре</w:t>
      </w:r>
      <w:r>
        <w:rPr>
          <w:sz w:val="25"/>
          <w:szCs w:val="25"/>
        </w:rPr>
        <w:t>дставлявана от Николай Добрев Ангелов</w:t>
      </w:r>
      <w:r>
        <w:rPr>
          <w:sz w:val="25"/>
          <w:szCs w:val="25"/>
          <w:lang w:eastAsia="en-US"/>
        </w:rPr>
        <w:t xml:space="preserve"> - кмет на Община Балчик и </w:t>
      </w:r>
      <w:r>
        <w:rPr>
          <w:rFonts w:eastAsia="SimSun"/>
          <w:sz w:val="25"/>
          <w:szCs w:val="25"/>
          <w:lang w:eastAsia="ar-SA"/>
        </w:rPr>
        <w:t xml:space="preserve">Михаил Димов Михайлов - гл. счетоводител, </w:t>
      </w:r>
      <w:r>
        <w:rPr>
          <w:sz w:val="25"/>
          <w:szCs w:val="25"/>
        </w:rPr>
        <w:t xml:space="preserve">наричани за краткост </w:t>
      </w:r>
      <w:r>
        <w:rPr>
          <w:b/>
          <w:sz w:val="25"/>
          <w:szCs w:val="25"/>
        </w:rPr>
        <w:t>ВЪЗЛОЖИТЕЛ</w:t>
      </w:r>
      <w:r>
        <w:rPr>
          <w:sz w:val="25"/>
          <w:szCs w:val="25"/>
        </w:rPr>
        <w:t>, от една страна,</w:t>
      </w:r>
    </w:p>
    <w:p w:rsidR="00A8355F" w:rsidRDefault="003058B3">
      <w:pPr>
        <w:pStyle w:val="Default"/>
        <w:spacing w:after="120" w:line="276" w:lineRule="auto"/>
        <w:jc w:val="both"/>
      </w:pPr>
      <w:r>
        <w:t xml:space="preserve">и </w:t>
      </w:r>
    </w:p>
    <w:p w:rsidR="00A8355F" w:rsidRDefault="00271A9F">
      <w:pPr>
        <w:pStyle w:val="Default"/>
        <w:spacing w:after="120" w:line="276" w:lineRule="auto"/>
        <w:jc w:val="both"/>
      </w:pPr>
      <w:r>
        <w:rPr>
          <w:b/>
          <w:bCs/>
          <w:color w:val="auto"/>
        </w:rPr>
        <w:t>……………………………..</w:t>
      </w:r>
      <w:bookmarkStart w:id="0" w:name="_GoBack"/>
      <w:bookmarkEnd w:id="0"/>
      <w:r>
        <w:rPr>
          <w:b/>
          <w:bCs/>
          <w:color w:val="auto"/>
        </w:rPr>
        <w:t>……..</w:t>
      </w:r>
      <w:r w:rsidR="003058B3">
        <w:rPr>
          <w:rFonts w:eastAsia="Times New Roman"/>
          <w:b/>
          <w:bCs/>
          <w:color w:val="auto"/>
          <w:lang w:eastAsia="bg-BG"/>
        </w:rPr>
        <w:t xml:space="preserve">, </w:t>
      </w:r>
      <w:r w:rsidR="003058B3">
        <w:rPr>
          <w:rFonts w:eastAsia="Times New Roman"/>
          <w:bCs/>
          <w:color w:val="auto"/>
          <w:lang w:eastAsia="bg-BG"/>
        </w:rPr>
        <w:t>ЕИК:</w:t>
      </w:r>
      <w:r w:rsidR="003058B3">
        <w:t xml:space="preserve"> </w:t>
      </w:r>
      <w:r>
        <w:t>………………..</w:t>
      </w:r>
      <w:r w:rsidR="003058B3">
        <w:rPr>
          <w:rFonts w:eastAsia="Times New Roman"/>
          <w:bCs/>
          <w:color w:val="auto"/>
          <w:lang w:eastAsia="bg-BG"/>
        </w:rPr>
        <w:t>, с адрес на управление:</w:t>
      </w:r>
      <w:r w:rsidR="003058B3">
        <w:t xml:space="preserve"> </w:t>
      </w:r>
      <w:r>
        <w:t>………………………………………</w:t>
      </w:r>
      <w:r w:rsidR="003058B3">
        <w:rPr>
          <w:rFonts w:eastAsia="Times New Roman"/>
          <w:bCs/>
          <w:color w:val="auto"/>
          <w:lang w:eastAsia="bg-BG"/>
        </w:rPr>
        <w:t xml:space="preserve">, представлявано от </w:t>
      </w:r>
      <w:r>
        <w:rPr>
          <w:rFonts w:eastAsia="Times New Roman"/>
          <w:bCs/>
          <w:color w:val="auto"/>
          <w:lang w:eastAsia="bg-BG"/>
        </w:rPr>
        <w:t>……………………….</w:t>
      </w:r>
      <w:r w:rsidR="003058B3">
        <w:rPr>
          <w:rFonts w:eastAsia="Times New Roman"/>
          <w:bCs/>
          <w:color w:val="auto"/>
          <w:lang w:eastAsia="bg-BG"/>
        </w:rPr>
        <w:t xml:space="preserve">, </w:t>
      </w:r>
      <w:r w:rsidR="003058B3">
        <w:t xml:space="preserve">наричано за краткост </w:t>
      </w:r>
      <w:r w:rsidR="003058B3">
        <w:rPr>
          <w:b/>
          <w:bCs/>
        </w:rPr>
        <w:t>ИЗПЪЛНИТЕЛ,</w:t>
      </w:r>
      <w:r w:rsidR="003058B3">
        <w:t xml:space="preserve"> от друга страна </w:t>
      </w:r>
    </w:p>
    <w:p w:rsidR="00A8355F" w:rsidRPr="00271A9F" w:rsidRDefault="003058B3">
      <w:pPr>
        <w:jc w:val="both"/>
      </w:pPr>
      <w:r>
        <w:t>и на основание Решения № 294, 295/31.01.2013 г., Решения №104, 105/22.05.2020г.  и Решение №539/27.02.2</w:t>
      </w:r>
      <w:r>
        <w:t xml:space="preserve">014 г. на Общински съвет – Балчик </w:t>
      </w:r>
      <w:r w:rsidRPr="00271A9F">
        <w:t xml:space="preserve">и </w:t>
      </w:r>
      <w:r w:rsidRPr="00271A9F">
        <w:t xml:space="preserve">Заповед № </w:t>
      </w:r>
      <w:r w:rsidR="00271A9F" w:rsidRPr="00271A9F">
        <w:t>……………………</w:t>
      </w:r>
      <w:r w:rsidRPr="00271A9F">
        <w:t xml:space="preserve"> </w:t>
      </w:r>
      <w:r w:rsidRPr="00271A9F">
        <w:t>г. на кмета на община Балчик,</w:t>
      </w:r>
    </w:p>
    <w:p w:rsidR="00A8355F" w:rsidRDefault="00A8355F">
      <w:pPr>
        <w:jc w:val="both"/>
      </w:pPr>
    </w:p>
    <w:p w:rsidR="00A8355F" w:rsidRDefault="003058B3">
      <w:pPr>
        <w:pStyle w:val="Default"/>
        <w:spacing w:after="120" w:line="276" w:lineRule="auto"/>
        <w:jc w:val="both"/>
      </w:pPr>
      <w:r>
        <w:t>се сключи настоящия договор за следното:</w:t>
      </w:r>
    </w:p>
    <w:p w:rsidR="00A8355F" w:rsidRDefault="003058B3">
      <w:pPr>
        <w:pStyle w:val="Default"/>
        <w:spacing w:after="120" w:line="276" w:lineRule="auto"/>
        <w:jc w:val="center"/>
        <w:rPr>
          <w:b/>
          <w:bCs/>
        </w:rPr>
      </w:pPr>
      <w:r>
        <w:rPr>
          <w:b/>
          <w:bCs/>
        </w:rPr>
        <w:t>І. ПРЕДМЕТ НА ДОГОВОРА</w:t>
      </w:r>
    </w:p>
    <w:p w:rsidR="00A8355F" w:rsidRDefault="003058B3">
      <w:pPr>
        <w:ind w:firstLine="851"/>
        <w:jc w:val="both"/>
        <w:rPr>
          <w:b/>
          <w:bCs/>
        </w:rPr>
      </w:pPr>
      <w:r>
        <w:rPr>
          <w:b/>
          <w:bCs/>
        </w:rPr>
        <w:t xml:space="preserve">Чл. 1. </w:t>
      </w:r>
      <w:r>
        <w:t xml:space="preserve">(1) </w:t>
      </w:r>
      <w:r>
        <w:rPr>
          <w:b/>
          <w:bCs/>
        </w:rPr>
        <w:t xml:space="preserve">ВЪЗЛОЖИТЕЛЯТ </w:t>
      </w:r>
      <w:r>
        <w:t xml:space="preserve">възлага, а </w:t>
      </w:r>
      <w:r>
        <w:rPr>
          <w:b/>
          <w:bCs/>
        </w:rPr>
        <w:t xml:space="preserve">ИЗПЪЛНИТЕЛЯТ </w:t>
      </w:r>
      <w:r>
        <w:t xml:space="preserve">се задължава да управлява </w:t>
      </w:r>
      <w:r>
        <w:rPr>
          <w:bCs/>
        </w:rPr>
        <w:t>социалните услуги</w:t>
      </w:r>
      <w:r>
        <w:rPr>
          <w:b/>
          <w:bCs/>
          <w:i/>
        </w:rPr>
        <w:t xml:space="preserve">: </w:t>
      </w:r>
      <w:r>
        <w:rPr>
          <w:b/>
          <w:bCs/>
        </w:rPr>
        <w:t>„ Центъ</w:t>
      </w:r>
      <w:r>
        <w:rPr>
          <w:b/>
          <w:bCs/>
        </w:rPr>
        <w:t>р за обществена подкрепа " /ЦОП/ в гр. Балчик, пл. „</w:t>
      </w:r>
      <w:proofErr w:type="spellStart"/>
      <w:r>
        <w:rPr>
          <w:b/>
          <w:bCs/>
        </w:rPr>
        <w:t>кап</w:t>
      </w:r>
      <w:proofErr w:type="spellEnd"/>
      <w:r>
        <w:rPr>
          <w:b/>
          <w:bCs/>
        </w:rPr>
        <w:t xml:space="preserve">. Георги Радков" № 1  с капацитет на социалната услуга - 40 места  за срок от 5 (пет) години.; „Център за социална </w:t>
      </w:r>
      <w:proofErr w:type="spellStart"/>
      <w:r>
        <w:rPr>
          <w:b/>
          <w:bCs/>
        </w:rPr>
        <w:t>рихабилитация</w:t>
      </w:r>
      <w:proofErr w:type="spellEnd"/>
      <w:r>
        <w:rPr>
          <w:b/>
          <w:bCs/>
        </w:rPr>
        <w:t xml:space="preserve"> и интеграция" /ЦСРИ/ в гр. Балчик, пл. „</w:t>
      </w:r>
      <w:proofErr w:type="spellStart"/>
      <w:r>
        <w:rPr>
          <w:b/>
          <w:bCs/>
        </w:rPr>
        <w:t>кап</w:t>
      </w:r>
      <w:proofErr w:type="spellEnd"/>
      <w:r>
        <w:rPr>
          <w:b/>
          <w:bCs/>
        </w:rPr>
        <w:t>. Георги Радков" № 1  с капац</w:t>
      </w:r>
      <w:r>
        <w:rPr>
          <w:b/>
          <w:bCs/>
        </w:rPr>
        <w:t xml:space="preserve">итет на социалната услуга - 30 места  за срок от 5 (пет) години.; „Дневен център за пълнолетни лица с увреждания" /ДЦПЛУ/  в гр. Балчик, </w:t>
      </w:r>
      <w:proofErr w:type="spellStart"/>
      <w:r>
        <w:rPr>
          <w:b/>
          <w:bCs/>
        </w:rPr>
        <w:t>в.з</w:t>
      </w:r>
      <w:proofErr w:type="spellEnd"/>
      <w:r>
        <w:rPr>
          <w:b/>
          <w:bCs/>
        </w:rPr>
        <w:t>. „Сборно място", ул. „Четвърта" №21 с капацитет на социалната услуга - 30 места  за срок от 5 (пет) години.;  „Цент</w:t>
      </w:r>
      <w:r>
        <w:rPr>
          <w:b/>
          <w:bCs/>
        </w:rPr>
        <w:t xml:space="preserve">ър за настаняване от семеен тип за стари хора" /ЦНСТСХ/ в гр. Балчик, </w:t>
      </w:r>
      <w:proofErr w:type="spellStart"/>
      <w:r>
        <w:rPr>
          <w:b/>
          <w:bCs/>
        </w:rPr>
        <w:t>в.з</w:t>
      </w:r>
      <w:proofErr w:type="spellEnd"/>
      <w:r>
        <w:rPr>
          <w:b/>
          <w:bCs/>
        </w:rPr>
        <w:t xml:space="preserve">. „Сборно място", ул. „Четвърта" №21 с капацитет на социалната услуга - 15 места  за срок от 5 (пет) години.; „Център за настаняване от семеен тип за деца без увреждания" /ЦНСТДБУ/ в </w:t>
      </w:r>
      <w:r>
        <w:rPr>
          <w:b/>
          <w:bCs/>
        </w:rPr>
        <w:t>гр. Балчик, ул. „Баба Райна" №2 с капацитет на социалната услуга - 14 места за срок от 5 (пет) години.</w:t>
      </w:r>
    </w:p>
    <w:p w:rsidR="00A8355F" w:rsidRDefault="00A8355F">
      <w:pPr>
        <w:ind w:firstLine="851"/>
        <w:jc w:val="both"/>
        <w:rPr>
          <w:b/>
        </w:rPr>
      </w:pPr>
    </w:p>
    <w:p w:rsidR="00A8355F" w:rsidRDefault="003058B3">
      <w:pPr>
        <w:jc w:val="both"/>
      </w:pPr>
      <w:r>
        <w:t xml:space="preserve">                           (2) Обхватът на предоставяните социални услуги за всяка финансова (календарна) година се определя от страните в годишна прогр</w:t>
      </w:r>
      <w:r>
        <w:t xml:space="preserve">ама за предоставяне на социални услуги, съобразно бюджетната субсидия от Републиканския бюджет за държавно делегирани дейности. </w:t>
      </w:r>
    </w:p>
    <w:p w:rsidR="00A8355F" w:rsidRDefault="003058B3">
      <w:pPr>
        <w:pStyle w:val="Default"/>
        <w:spacing w:after="120" w:line="276" w:lineRule="auto"/>
        <w:jc w:val="center"/>
        <w:rPr>
          <w:b/>
          <w:bCs/>
        </w:rPr>
      </w:pPr>
      <w:r>
        <w:rPr>
          <w:b/>
          <w:bCs/>
        </w:rPr>
        <w:t>ІІ. СРОК НА ДОГОВОРА</w:t>
      </w:r>
    </w:p>
    <w:p w:rsidR="00A8355F" w:rsidRDefault="003058B3">
      <w:pPr>
        <w:pStyle w:val="Default"/>
        <w:spacing w:after="120" w:line="276" w:lineRule="auto"/>
        <w:jc w:val="both"/>
      </w:pPr>
      <w:r>
        <w:rPr>
          <w:b/>
          <w:bCs/>
        </w:rPr>
        <w:lastRenderedPageBreak/>
        <w:t xml:space="preserve">Чл. 2 </w:t>
      </w:r>
      <w:r>
        <w:t xml:space="preserve">(1) Настоящият договор се сключва </w:t>
      </w:r>
      <w:r>
        <w:rPr>
          <w:bCs/>
        </w:rPr>
        <w:t>за срок от 5 (пет) години,</w:t>
      </w:r>
      <w:r>
        <w:rPr>
          <w:b/>
          <w:bCs/>
        </w:rPr>
        <w:t xml:space="preserve"> </w:t>
      </w:r>
      <w:r>
        <w:t>считано от датата на фактическото старт</w:t>
      </w:r>
      <w:r>
        <w:t>иране на предоставяне на услугата по чл. 1.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rPr>
          <w:lang w:val="en-US"/>
        </w:rPr>
        <w:t>(</w:t>
      </w:r>
      <w:r>
        <w:t>2</w:t>
      </w:r>
      <w:r>
        <w:rPr>
          <w:lang w:val="en-US"/>
        </w:rPr>
        <w:t>)</w:t>
      </w:r>
      <w:r>
        <w:t xml:space="preserve"> </w:t>
      </w:r>
      <w:r>
        <w:rPr>
          <w:b/>
        </w:rPr>
        <w:t>ИЗПЪЛНИТЕЛЯТ</w:t>
      </w:r>
      <w:r>
        <w:t xml:space="preserve"> се задължава да уведоми писмено </w:t>
      </w:r>
      <w:r>
        <w:rPr>
          <w:b/>
          <w:bCs/>
          <w:color w:val="auto"/>
        </w:rPr>
        <w:t xml:space="preserve">ВЪЗЛОЖИТЕЛЯ </w:t>
      </w:r>
      <w:r>
        <w:t>за   началната дата, от която ще започне изпълнението на дейностите, най-малко в 7-дневен срок преди нея.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lang w:val="en-US"/>
        </w:rPr>
      </w:pPr>
      <w:r>
        <w:t xml:space="preserve">(3) Изпълнението на програмите за предоставяне на социални услуги започва от фактическото изпълнение на социалните дейности, съобразно графика на дейностите, неразделна част от представените от </w:t>
      </w:r>
      <w:r>
        <w:rPr>
          <w:b/>
        </w:rPr>
        <w:t>ИЗПЪЛНИТЕЛЯ</w:t>
      </w:r>
      <w:r>
        <w:t xml:space="preserve"> Програми за развитие на социалните услуги. </w:t>
      </w:r>
    </w:p>
    <w:p w:rsidR="00A8355F" w:rsidRDefault="003058B3">
      <w:pPr>
        <w:pStyle w:val="Default"/>
        <w:spacing w:after="120" w:line="276" w:lineRule="auto"/>
        <w:jc w:val="center"/>
        <w:rPr>
          <w:color w:val="auto"/>
        </w:rPr>
      </w:pPr>
      <w:r>
        <w:rPr>
          <w:b/>
          <w:bCs/>
          <w:color w:val="auto"/>
        </w:rPr>
        <w:t>III. Ф</w:t>
      </w:r>
      <w:r>
        <w:rPr>
          <w:b/>
          <w:bCs/>
          <w:color w:val="auto"/>
        </w:rPr>
        <w:t>ИНАНСИРАНЕ И НАЧИН НА ПЛАЩАНЕ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3 </w:t>
      </w:r>
      <w:r>
        <w:rPr>
          <w:color w:val="auto"/>
        </w:rPr>
        <w:t xml:space="preserve">(1) За предоставянето на социалните услуги и за изпълнение на годишните програми за предоставяне на социални услуги, </w:t>
      </w:r>
      <w:r>
        <w:rPr>
          <w:b/>
          <w:bCs/>
          <w:color w:val="auto"/>
        </w:rPr>
        <w:t xml:space="preserve">ВЪЗЛОЖИТЕЛЯТ </w:t>
      </w:r>
      <w:r>
        <w:rPr>
          <w:color w:val="auto"/>
        </w:rPr>
        <w:t xml:space="preserve">предоставя на </w:t>
      </w:r>
      <w:r>
        <w:rPr>
          <w:b/>
          <w:bCs/>
          <w:color w:val="auto"/>
        </w:rPr>
        <w:t xml:space="preserve">ИЗПЪЛНИТЕЛЯ </w:t>
      </w:r>
      <w:r>
        <w:rPr>
          <w:color w:val="auto"/>
        </w:rPr>
        <w:t xml:space="preserve">финансиране от общинския бюджет, съобразно средствата, съгласно </w:t>
      </w:r>
      <w:r>
        <w:rPr>
          <w:color w:val="auto"/>
        </w:rPr>
        <w:t xml:space="preserve">Закона за държавния бюджет на Република България за съответната  година и единните разходни стандарти за делегираните от държавата дейности.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(2) Размерът на средствата за финансиране за всяка следваща година се договаря между страните до 15 януари с Анекс</w:t>
      </w:r>
      <w:r>
        <w:rPr>
          <w:color w:val="auto"/>
        </w:rPr>
        <w:t xml:space="preserve"> към настоящия Договор, заедно с Програмите за развитие на социалните услуги за съответната година и в съответствие с утвърдените с Държавния бюджет на Република България за съответната финансова година натурални показатели и стандарти за издръжка на делег</w:t>
      </w:r>
      <w:r>
        <w:rPr>
          <w:color w:val="auto"/>
        </w:rPr>
        <w:t>ираните от държавата дейности.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  <w:lang w:val="en-US"/>
        </w:rPr>
      </w:pPr>
      <w:r>
        <w:rPr>
          <w:color w:val="auto"/>
        </w:rPr>
        <w:t>(3) Изпълнението, отчитането и разплащането на предоставяните социални услуги, съгласно предмета на Договора, се извършва съобразно договорения размер и както е разписано по-долу в Договора за плащания и отчети и е съобразено</w:t>
      </w:r>
      <w:r>
        <w:rPr>
          <w:color w:val="auto"/>
        </w:rPr>
        <w:t xml:space="preserve"> с финансовите правила, заложени в българското законодателство.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 (4) </w:t>
      </w:r>
      <w:proofErr w:type="spellStart"/>
      <w:r>
        <w:rPr>
          <w:color w:val="auto"/>
        </w:rPr>
        <w:t>Непредвиждането</w:t>
      </w:r>
      <w:proofErr w:type="spellEnd"/>
      <w:r>
        <w:rPr>
          <w:color w:val="auto"/>
        </w:rPr>
        <w:t xml:space="preserve"> на средства от държавния бюджет за съответната финансова година за издръжка на социалните услуги като делегирани държавни дейности освобождава Общината от отговорност за п</w:t>
      </w:r>
      <w:r>
        <w:rPr>
          <w:color w:val="auto"/>
        </w:rPr>
        <w:t>лащане и прекратява ангажиментите за предоставяне на социалните услуги за периода, в който не е осигурено финансиране.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bCs/>
          <w:color w:val="auto"/>
        </w:rPr>
      </w:pPr>
      <w:r>
        <w:rPr>
          <w:color w:val="auto"/>
        </w:rPr>
        <w:t xml:space="preserve"> (5) </w:t>
      </w:r>
      <w:r>
        <w:rPr>
          <w:b/>
          <w:bCs/>
          <w:color w:val="auto"/>
        </w:rPr>
        <w:t xml:space="preserve">ИЗПЪЛНИТЕЛЯТ </w:t>
      </w:r>
      <w:r>
        <w:rPr>
          <w:bCs/>
          <w:color w:val="auto"/>
        </w:rPr>
        <w:t xml:space="preserve">предоставя месечни технически и финансови отчети отделно за всяка услуга и документи, с необходимите реквизити по </w:t>
      </w:r>
      <w:r>
        <w:rPr>
          <w:bCs/>
          <w:color w:val="auto"/>
        </w:rPr>
        <w:t>Закона за счетоводството в срок до 5-то число на месеца, следващ отчетния.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b/>
          <w:bCs/>
          <w:color w:val="auto"/>
        </w:rPr>
        <w:t xml:space="preserve">Чл. 4 (1) ВЪЗЛОЖИТЕЛЯТ </w:t>
      </w:r>
      <w:r>
        <w:rPr>
          <w:color w:val="auto"/>
        </w:rPr>
        <w:t>извършва плащането по чл. 3, ал. 1 и 2 съобразно разпределението на бюджета съгласно Закона за държавния бюджет на Република България за съответната година.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(</w:t>
      </w:r>
      <w:r>
        <w:rPr>
          <w:color w:val="auto"/>
        </w:rPr>
        <w:t xml:space="preserve">2) Средствата се предоставят на </w:t>
      </w:r>
      <w:r>
        <w:rPr>
          <w:b/>
          <w:bCs/>
          <w:color w:val="auto"/>
        </w:rPr>
        <w:t>ИЗПЪЛНИТЕЛЯ</w:t>
      </w:r>
      <w:r>
        <w:rPr>
          <w:color w:val="auto"/>
        </w:rPr>
        <w:t>, по банкова сметка, както следва: IBAN</w:t>
      </w:r>
      <w:r>
        <w:rPr>
          <w:color w:val="auto"/>
          <w:lang w:val="en-US"/>
        </w:rPr>
        <w:t xml:space="preserve"> </w:t>
      </w:r>
      <w:r>
        <w:rPr>
          <w:color w:val="auto"/>
        </w:rPr>
        <w:t xml:space="preserve">…………………………………… , Банка …………………………………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(3) </w:t>
      </w:r>
      <w:r>
        <w:rPr>
          <w:b/>
          <w:bCs/>
          <w:color w:val="auto"/>
        </w:rPr>
        <w:t xml:space="preserve">ИЗПЪЛНИТЕЛЯТ </w:t>
      </w:r>
      <w:r>
        <w:rPr>
          <w:color w:val="auto"/>
        </w:rPr>
        <w:t xml:space="preserve">се задължава да използва предоставените му бюджетни средства единствено за предоставяне на социалните услуги, предмет </w:t>
      </w:r>
      <w:r>
        <w:rPr>
          <w:color w:val="auto"/>
        </w:rPr>
        <w:t xml:space="preserve">на настоящия </w:t>
      </w:r>
      <w:r>
        <w:rPr>
          <w:color w:val="auto"/>
        </w:rPr>
        <w:lastRenderedPageBreak/>
        <w:t xml:space="preserve">договор и съответно в рамките на бюджета, описан в програмите за предоставяне на социални услуги.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bCs/>
          <w:color w:val="auto"/>
        </w:rPr>
      </w:pPr>
      <w:r>
        <w:rPr>
          <w:color w:val="auto"/>
        </w:rPr>
        <w:t xml:space="preserve">(4) </w:t>
      </w:r>
      <w:r>
        <w:rPr>
          <w:b/>
          <w:bCs/>
          <w:color w:val="auto"/>
        </w:rPr>
        <w:t xml:space="preserve">ВЪЗЛОЖИТЕЛЯТ </w:t>
      </w:r>
      <w:r>
        <w:rPr>
          <w:bCs/>
          <w:color w:val="auto"/>
        </w:rPr>
        <w:t xml:space="preserve">превежда на </w:t>
      </w:r>
      <w:r>
        <w:rPr>
          <w:b/>
          <w:bCs/>
          <w:color w:val="auto"/>
        </w:rPr>
        <w:t xml:space="preserve">ИЗПЪЛНИТЕЛЯ </w:t>
      </w:r>
      <w:r>
        <w:rPr>
          <w:bCs/>
          <w:color w:val="auto"/>
        </w:rPr>
        <w:t xml:space="preserve">дължимите месечни плащания до 10-то число на текущия месец, след представяне на отчетните документи по </w:t>
      </w:r>
      <w:r>
        <w:rPr>
          <w:bCs/>
          <w:color w:val="auto"/>
        </w:rPr>
        <w:t xml:space="preserve">ал.5.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bCs/>
          <w:color w:val="auto"/>
        </w:rPr>
      </w:pPr>
      <w:r>
        <w:rPr>
          <w:color w:val="auto"/>
        </w:rPr>
        <w:t xml:space="preserve">(5) </w:t>
      </w:r>
      <w:r>
        <w:rPr>
          <w:b/>
          <w:bCs/>
          <w:color w:val="auto"/>
        </w:rPr>
        <w:t xml:space="preserve">ИЗПЪЛНИТЕЛЯТ </w:t>
      </w:r>
      <w:r>
        <w:rPr>
          <w:bCs/>
          <w:color w:val="auto"/>
        </w:rPr>
        <w:t xml:space="preserve">предоставя на </w:t>
      </w:r>
      <w:r>
        <w:rPr>
          <w:b/>
          <w:bCs/>
          <w:color w:val="auto"/>
        </w:rPr>
        <w:t xml:space="preserve">ВЪЗЛОЖИТЕЛЯ </w:t>
      </w:r>
      <w:r>
        <w:rPr>
          <w:bCs/>
          <w:color w:val="auto"/>
        </w:rPr>
        <w:t>до 5-то число на месеца, следващ отчетния период технически и финансов отчет за предходния месец.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(6) Всички отчети и разплащания по Договора за последния месец на всяка година от срока на Договора се извър</w:t>
      </w:r>
      <w:r>
        <w:rPr>
          <w:color w:val="auto"/>
        </w:rPr>
        <w:t>шват не по-късно от 20-то число на месец декември с оглед приключване на финансовата година.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(7) Остатъците по банкова сметка на ИЗПЪЛНИТЕЛЯ от преведените средства по настоящия  договор при изтичане на договора се възстановяват по банкова сметка на община</w:t>
      </w:r>
      <w:r>
        <w:rPr>
          <w:color w:val="auto"/>
        </w:rPr>
        <w:t>та, с цел приключване на финансовата година.</w:t>
      </w:r>
    </w:p>
    <w:p w:rsidR="00A8355F" w:rsidRDefault="003058B3">
      <w:pPr>
        <w:pStyle w:val="Default"/>
        <w:spacing w:after="120" w:line="276" w:lineRule="auto"/>
        <w:jc w:val="center"/>
        <w:rPr>
          <w:color w:val="auto"/>
        </w:rPr>
      </w:pPr>
      <w:r>
        <w:rPr>
          <w:b/>
          <w:bCs/>
          <w:color w:val="auto"/>
        </w:rPr>
        <w:t>IV. ПРАВА И ЗАДЪЛЖЕНИЯ НА ВЪЗЛОЖИТЕЛЯ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5 </w:t>
      </w:r>
      <w:r>
        <w:rPr>
          <w:color w:val="auto"/>
        </w:rPr>
        <w:t xml:space="preserve">(1) </w:t>
      </w:r>
      <w:r>
        <w:rPr>
          <w:b/>
          <w:bCs/>
          <w:color w:val="auto"/>
        </w:rPr>
        <w:t xml:space="preserve">ВЪЗЛОЖИТЕЛЯТ </w:t>
      </w:r>
      <w:r>
        <w:rPr>
          <w:color w:val="auto"/>
        </w:rPr>
        <w:t xml:space="preserve">се задължава: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1. Да предоставя финансирането, съгласно уговореното в раздел ІІІ от договора.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2. Да оказва на </w:t>
      </w:r>
      <w:r>
        <w:rPr>
          <w:b/>
          <w:bCs/>
          <w:color w:val="auto"/>
        </w:rPr>
        <w:t xml:space="preserve">ИЗПЪЛНИТЕЛЯ </w:t>
      </w:r>
      <w:r>
        <w:rPr>
          <w:color w:val="auto"/>
        </w:rPr>
        <w:t xml:space="preserve">необходимото съдействие за </w:t>
      </w:r>
      <w:r>
        <w:rPr>
          <w:color w:val="auto"/>
        </w:rPr>
        <w:t xml:space="preserve">предоставяне на услугите и изпълнението на програмите.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FF0000"/>
        </w:rPr>
      </w:pPr>
      <w:r>
        <w:rPr>
          <w:color w:val="auto"/>
        </w:rPr>
        <w:t>3. Да предаде за ползване и стопанисване сградите, ведно с движимото и недвижимо имущество в тях с приемно-предавателен протокол, в който се фиксира действителното състояние на движимото и недвижимото</w:t>
      </w:r>
      <w:r>
        <w:rPr>
          <w:color w:val="auto"/>
        </w:rPr>
        <w:t xml:space="preserve"> имущество на социалните услуги, вкл. помещения, санитарни възли, обзавеждане, оборудване, инвентар.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4. Да се включи представител на Общината в комисията по годишната инвентаризация, който да следи в каква степен инвентаризираното имущество съответства на</w:t>
      </w:r>
      <w:r>
        <w:rPr>
          <w:color w:val="auto"/>
        </w:rPr>
        <w:t xml:space="preserve"> предаденото при сключване на Договора.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bCs/>
          <w:color w:val="auto"/>
        </w:rPr>
      </w:pPr>
      <w:r>
        <w:rPr>
          <w:color w:val="auto"/>
        </w:rPr>
        <w:t xml:space="preserve">5. Да прехвърли партидите за получаваните консумативни услуги – електроенергия, отопление, телефон и вода на името на </w:t>
      </w:r>
      <w:r>
        <w:rPr>
          <w:b/>
          <w:bCs/>
          <w:color w:val="auto"/>
        </w:rPr>
        <w:t xml:space="preserve">ИЗПЪЛНИТЕЛЯ, </w:t>
      </w:r>
      <w:r>
        <w:rPr>
          <w:bCs/>
          <w:color w:val="auto"/>
        </w:rPr>
        <w:t>за чиято сметка са тези разходи от датата на фактическото предоставяне на социалните</w:t>
      </w:r>
      <w:r>
        <w:rPr>
          <w:bCs/>
          <w:color w:val="auto"/>
        </w:rPr>
        <w:t xml:space="preserve"> дейности. За времето от фактическото стартиране на социалните услуги до прехвърляне на партидите, посочените разходи ще бъдат </w:t>
      </w:r>
      <w:proofErr w:type="spellStart"/>
      <w:r>
        <w:rPr>
          <w:bCs/>
          <w:color w:val="auto"/>
        </w:rPr>
        <w:t>префактурирани</w:t>
      </w:r>
      <w:proofErr w:type="spellEnd"/>
      <w:r>
        <w:rPr>
          <w:bCs/>
          <w:color w:val="auto"/>
        </w:rPr>
        <w:t xml:space="preserve"> от </w:t>
      </w:r>
      <w:r>
        <w:rPr>
          <w:b/>
          <w:bCs/>
        </w:rPr>
        <w:t>ВЪЗЛОЖИТЕЛЯ</w:t>
      </w:r>
      <w:r>
        <w:rPr>
          <w:bCs/>
          <w:color w:val="auto"/>
        </w:rPr>
        <w:t xml:space="preserve"> на </w:t>
      </w:r>
      <w:r>
        <w:rPr>
          <w:b/>
          <w:bCs/>
        </w:rPr>
        <w:t>ИЗПЪЛНИТЕЛЯ</w:t>
      </w:r>
      <w:r>
        <w:rPr>
          <w:bCs/>
          <w:color w:val="auto"/>
        </w:rPr>
        <w:t>.</w:t>
      </w:r>
    </w:p>
    <w:p w:rsidR="00A8355F" w:rsidRDefault="003058B3">
      <w:pPr>
        <w:pStyle w:val="Default"/>
        <w:spacing w:after="120" w:line="276" w:lineRule="auto"/>
        <w:jc w:val="both"/>
        <w:rPr>
          <w:bCs/>
          <w:color w:val="auto"/>
        </w:rPr>
      </w:pPr>
      <w:r>
        <w:rPr>
          <w:b/>
          <w:bCs/>
        </w:rPr>
        <w:t xml:space="preserve">Чл. 6 </w:t>
      </w:r>
      <w:r>
        <w:t xml:space="preserve">(1) </w:t>
      </w:r>
      <w:r>
        <w:rPr>
          <w:b/>
          <w:bCs/>
        </w:rPr>
        <w:t xml:space="preserve">ВЪЗЛОЖИТЕЛЯТ </w:t>
      </w:r>
      <w:r>
        <w:t xml:space="preserve">има право: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>1. Да извършва проверки за качеството на предост</w:t>
      </w:r>
      <w:r>
        <w:t xml:space="preserve">авяните от </w:t>
      </w:r>
      <w:r>
        <w:rPr>
          <w:b/>
          <w:bCs/>
        </w:rPr>
        <w:t xml:space="preserve">ИЗПЪЛНИТЕЛЯ </w:t>
      </w:r>
      <w:r>
        <w:t xml:space="preserve">социални услуги във връзка със законоустановените критерии и стандарти. </w:t>
      </w:r>
      <w:r>
        <w:rPr>
          <w:b/>
          <w:bCs/>
        </w:rPr>
        <w:t>ВЪЗЛОЖИТЕЛЯТ</w:t>
      </w:r>
      <w:r>
        <w:t xml:space="preserve"> може да дава задължителни писмени указания на </w:t>
      </w:r>
      <w:r>
        <w:rPr>
          <w:b/>
          <w:bCs/>
        </w:rPr>
        <w:t>ИЗПЪЛНИТЕЛЯ</w:t>
      </w:r>
      <w:r>
        <w:t xml:space="preserve"> във връзка с качеството на предоставяните социални услуги.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>2. Да осъществява цялостен кон</w:t>
      </w:r>
      <w:r>
        <w:t xml:space="preserve">трол на изпълнението на програмите за предоставяне на социални услуги, предоставяни от </w:t>
      </w:r>
      <w:r>
        <w:rPr>
          <w:b/>
          <w:bCs/>
        </w:rPr>
        <w:t xml:space="preserve">ИЗПЪЛНИТЕЛЯ.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lastRenderedPageBreak/>
        <w:t xml:space="preserve">3. Да осъществява проверки за стопанисването на сградите и повереното движимо и недвижимо имущество.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 xml:space="preserve">4. Да иска допълнителна информация по всяко време и тази информация трябва да бъде предоставена в срок от 3 работни дни.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 xml:space="preserve">5. Да контролира редовното плащане на всички разходи по издръжка на сградите и помещенията, както и годишните застраховки и данъка на сградите.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>6. Да получи от</w:t>
      </w:r>
      <w:r>
        <w:rPr>
          <w:b/>
          <w:bCs/>
        </w:rPr>
        <w:t xml:space="preserve"> ИЗПЪЛНИТЕЛЯ </w:t>
      </w:r>
      <w:r>
        <w:rPr>
          <w:bCs/>
        </w:rPr>
        <w:t>обезщетение за повреденото и негодно за използване по предназначението му имущество</w:t>
      </w:r>
      <w:r>
        <w:rPr>
          <w:bCs/>
        </w:rPr>
        <w:t xml:space="preserve"> в размер на веща/пазарна оценка.</w:t>
      </w:r>
      <w:r>
        <w:t xml:space="preserve"> </w:t>
      </w:r>
    </w:p>
    <w:p w:rsidR="00A8355F" w:rsidRDefault="003058B3">
      <w:pPr>
        <w:pStyle w:val="Default"/>
        <w:spacing w:after="12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V. ПРАВА И ЗАДЪЛЖЕНИЯ НА ИЗПЪЛНИТЕЛЯ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7 ИЗПЪЛНИТЕЛЯТ </w:t>
      </w:r>
      <w:r>
        <w:rPr>
          <w:color w:val="auto"/>
        </w:rPr>
        <w:t>има право:</w:t>
      </w:r>
    </w:p>
    <w:p w:rsidR="00A8355F" w:rsidRDefault="003058B3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</w:rPr>
      </w:pPr>
      <w:r>
        <w:rPr>
          <w:color w:val="auto"/>
        </w:rPr>
        <w:t>Да получи договореното финансиране съгласно раздел III от договора</w:t>
      </w:r>
    </w:p>
    <w:p w:rsidR="00A8355F" w:rsidRDefault="003058B3">
      <w:pPr>
        <w:pStyle w:val="Default"/>
        <w:numPr>
          <w:ilvl w:val="0"/>
          <w:numId w:val="1"/>
        </w:numPr>
        <w:spacing w:after="120" w:line="276" w:lineRule="auto"/>
        <w:jc w:val="both"/>
        <w:rPr>
          <w:color w:val="auto"/>
        </w:rPr>
      </w:pPr>
      <w:r>
        <w:rPr>
          <w:color w:val="auto"/>
        </w:rPr>
        <w:t>Да получава съдействие за реализирането на социалните услуги, предмет на настоящия дого</w:t>
      </w:r>
      <w:r>
        <w:rPr>
          <w:color w:val="auto"/>
        </w:rPr>
        <w:t xml:space="preserve">вор. 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8 ИЗПЪЛНИТЕЛЯТ </w:t>
      </w:r>
      <w:r>
        <w:rPr>
          <w:color w:val="auto"/>
        </w:rPr>
        <w:t xml:space="preserve">се задължава: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(1) Да управлява социалните услуги, предмет на настоящия договор, съобразно представените предложения и представените подробни програми за развитие на социалните услуги.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(2) Да разходва финансирането, получено от </w:t>
      </w:r>
      <w:r>
        <w:rPr>
          <w:b/>
          <w:bCs/>
          <w:color w:val="auto"/>
        </w:rPr>
        <w:t>ВЪ</w:t>
      </w:r>
      <w:r>
        <w:rPr>
          <w:b/>
          <w:bCs/>
          <w:color w:val="auto"/>
        </w:rPr>
        <w:t xml:space="preserve">ЗЛОЖИТЕЛЯ </w:t>
      </w:r>
      <w:r>
        <w:rPr>
          <w:color w:val="auto"/>
        </w:rPr>
        <w:t xml:space="preserve">по чл. 3 ал. 1 от настоящия договор, в съответствие с бюджета за съответната финансова година.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(3) Да пази и стопанисва с грижата на добър стопанин, предоставеното му от Община Твърдица във връзка с управлението на социалните услуги движимо и не</w:t>
      </w:r>
      <w:r>
        <w:rPr>
          <w:color w:val="auto"/>
        </w:rPr>
        <w:t xml:space="preserve">движимо имущество, да заплаща редовно всички разходи, свързани с обикновеното употребление на сградата, включително да заплаща всички консумативи, текущи ремонти  и дължими такси.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(4) Да застрахова предоставения му сграден фонд и да представи копие на зас</w:t>
      </w:r>
      <w:r>
        <w:rPr>
          <w:color w:val="auto"/>
        </w:rPr>
        <w:t xml:space="preserve">трахователната полица до 31-ви март на текущата година.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 (5) Да предоставя на </w:t>
      </w:r>
      <w:r>
        <w:rPr>
          <w:b/>
          <w:bCs/>
          <w:color w:val="auto"/>
        </w:rPr>
        <w:t xml:space="preserve">ВЪЗЛОЖИТЕЛЯ </w:t>
      </w:r>
      <w:r>
        <w:rPr>
          <w:color w:val="auto"/>
        </w:rPr>
        <w:t>ежемесечен технически и финансов отчет за изразходваните бюджетни средства по видове разходи, справка за неразплатени разходи и друга необходима финансова информация</w:t>
      </w:r>
      <w:r>
        <w:rPr>
          <w:color w:val="auto"/>
        </w:rPr>
        <w:t xml:space="preserve">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(6) Да предоставя социалните услуги, предмет на настоящия договор в съответствие с установените нормативни актове, критерии и стандарти за качество.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(7) При промяна на правния си статут да уведоми писмено </w:t>
      </w:r>
      <w:r>
        <w:rPr>
          <w:b/>
          <w:bCs/>
          <w:color w:val="auto"/>
        </w:rPr>
        <w:t xml:space="preserve">ВЪЗЛОЖИТЕЛЯ </w:t>
      </w:r>
      <w:r>
        <w:rPr>
          <w:color w:val="auto"/>
        </w:rPr>
        <w:t xml:space="preserve">в 7-дневен срок.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(8) Да уведомява </w:t>
      </w:r>
      <w:r>
        <w:rPr>
          <w:color w:val="auto"/>
        </w:rPr>
        <w:t xml:space="preserve">писмено </w:t>
      </w:r>
      <w:r>
        <w:rPr>
          <w:b/>
          <w:bCs/>
          <w:color w:val="auto"/>
        </w:rPr>
        <w:t xml:space="preserve">ВЪЗЛОЖИТЕЛЯ </w:t>
      </w:r>
      <w:r>
        <w:rPr>
          <w:color w:val="auto"/>
        </w:rPr>
        <w:t xml:space="preserve">за възникване на обстоятелства, препятстващи или забавящи изпълнението на годишната програма за предоставяне на услугите.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bCs/>
          <w:color w:val="auto"/>
        </w:rPr>
      </w:pPr>
      <w:r>
        <w:rPr>
          <w:color w:val="auto"/>
        </w:rPr>
        <w:t xml:space="preserve">(9) След приключване изпълнението на Договора, да върне на </w:t>
      </w:r>
      <w:r>
        <w:rPr>
          <w:b/>
          <w:bCs/>
          <w:color w:val="auto"/>
        </w:rPr>
        <w:t xml:space="preserve">ВЪЗЛОЖИТЕЛЯ </w:t>
      </w:r>
      <w:r>
        <w:rPr>
          <w:bCs/>
          <w:color w:val="auto"/>
        </w:rPr>
        <w:t>предаденото му за ползване имущество в със</w:t>
      </w:r>
      <w:r>
        <w:rPr>
          <w:bCs/>
          <w:color w:val="auto"/>
        </w:rPr>
        <w:t>тояние, годно за използването му по предназначение.</w:t>
      </w:r>
    </w:p>
    <w:p w:rsidR="00A8355F" w:rsidRDefault="00A8355F">
      <w:pPr>
        <w:pStyle w:val="Default"/>
        <w:spacing w:after="120" w:line="276" w:lineRule="auto"/>
        <w:ind w:firstLine="567"/>
        <w:jc w:val="both"/>
        <w:rPr>
          <w:color w:val="auto"/>
        </w:rPr>
      </w:pPr>
    </w:p>
    <w:p w:rsidR="00A8355F" w:rsidRDefault="003058B3">
      <w:pPr>
        <w:pStyle w:val="Default"/>
        <w:spacing w:after="120" w:line="276" w:lineRule="auto"/>
        <w:jc w:val="center"/>
        <w:rPr>
          <w:color w:val="auto"/>
        </w:rPr>
      </w:pPr>
      <w:r>
        <w:rPr>
          <w:b/>
          <w:bCs/>
          <w:color w:val="auto"/>
        </w:rPr>
        <w:t>VI. ГАРАНЦИИ ЗА ИЗПОЛЗВАНЕ НА ПРЕДОСТАВЕНИТЕ СРЕДСТВА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9 </w:t>
      </w:r>
      <w:r>
        <w:rPr>
          <w:color w:val="auto"/>
        </w:rPr>
        <w:t xml:space="preserve">(1) </w:t>
      </w:r>
      <w:r>
        <w:rPr>
          <w:b/>
          <w:bCs/>
          <w:color w:val="auto"/>
        </w:rPr>
        <w:t xml:space="preserve">ИЗПЪЛНИТЕЛЯТ </w:t>
      </w:r>
      <w:r>
        <w:rPr>
          <w:color w:val="auto"/>
        </w:rPr>
        <w:t xml:space="preserve">предоставя цялата необходима информация за изпълнение на дейностите. За тази цел </w:t>
      </w:r>
      <w:r>
        <w:rPr>
          <w:b/>
          <w:color w:val="auto"/>
        </w:rPr>
        <w:t>ИЗПЪЛНИТЕЛЯТ</w:t>
      </w:r>
      <w:r>
        <w:rPr>
          <w:color w:val="auto"/>
        </w:rPr>
        <w:t xml:space="preserve"> изготвя отчети всеки месец, коит</w:t>
      </w:r>
      <w:r>
        <w:rPr>
          <w:color w:val="auto"/>
        </w:rPr>
        <w:t xml:space="preserve">о представя на </w:t>
      </w:r>
      <w:r>
        <w:rPr>
          <w:b/>
          <w:bCs/>
          <w:color w:val="auto"/>
        </w:rPr>
        <w:t xml:space="preserve">ВЪЗЛОЖИТЕЛЯ </w:t>
      </w:r>
      <w:r>
        <w:rPr>
          <w:color w:val="auto"/>
        </w:rPr>
        <w:t xml:space="preserve">до 5-то число на месеца, следващ отчетния. Годишният отчет за изпълнение на програмите за предоставяне на социални услуги се предоставя на </w:t>
      </w:r>
      <w:r>
        <w:rPr>
          <w:b/>
          <w:bCs/>
          <w:color w:val="auto"/>
        </w:rPr>
        <w:t xml:space="preserve">ВЪЗЛОЖИТЕЛЯ </w:t>
      </w:r>
      <w:r>
        <w:rPr>
          <w:color w:val="auto"/>
        </w:rPr>
        <w:t xml:space="preserve">в срок до 1 (един) месец след изтичане на съответната година.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>(2) Отчетите по</w:t>
      </w:r>
      <w:r>
        <w:t xml:space="preserve"> ал. 1 се състоят от технически раздел и финансов раздел.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>(3) Всеки месечен отчет в техническата си част трябва да дава описание на дейностите, спрямо заложените в годишния план-график, спазване на поставените срокове и постигане на заложените резултати з</w:t>
      </w:r>
      <w:r>
        <w:t>а отчетния период. Във финансовата част, отчетът трябва да съдържа информация за изразходваните средства във връзка с организацията на дейностите в съответните социални услуги.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 xml:space="preserve"> (4) Всички междинни (месечни) отчети се разглеждат и одобряват от администраци</w:t>
      </w:r>
      <w:r>
        <w:t xml:space="preserve">ята на Община Балчик в 7-дневен срок от предоставянето им. </w:t>
      </w:r>
    </w:p>
    <w:p w:rsidR="00A8355F" w:rsidRDefault="00A8355F">
      <w:pPr>
        <w:pStyle w:val="Default"/>
        <w:spacing w:after="120" w:line="276" w:lineRule="auto"/>
        <w:ind w:firstLine="567"/>
        <w:jc w:val="both"/>
      </w:pPr>
    </w:p>
    <w:p w:rsidR="00A8355F" w:rsidRDefault="003058B3">
      <w:pPr>
        <w:pStyle w:val="Default"/>
        <w:spacing w:after="12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VII. ПРЕКРАТЯВАНЕ НА ДОГОВОРА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10 </w:t>
      </w:r>
      <w:r>
        <w:rPr>
          <w:color w:val="auto"/>
        </w:rPr>
        <w:t>Настоящият договор се прекратява: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(1) По взаимно съгласие на страните, изразено в писмен вид;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(2) С изтичане на срока на договора;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(3) Договорът се прекратява</w:t>
      </w:r>
      <w:r>
        <w:rPr>
          <w:color w:val="auto"/>
        </w:rPr>
        <w:t xml:space="preserve"> при закриването на социалните услуги от Изпълнителния директор на Агенцията за социално подпомагане.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(4) </w:t>
      </w:r>
      <w:r>
        <w:rPr>
          <w:b/>
          <w:bCs/>
          <w:color w:val="auto"/>
        </w:rPr>
        <w:t xml:space="preserve">ВЪЗЛОЖИТЕЛЯТ </w:t>
      </w:r>
      <w:r>
        <w:rPr>
          <w:color w:val="auto"/>
        </w:rPr>
        <w:t xml:space="preserve">може да прекрати едностранно договора след отправено писмено </w:t>
      </w:r>
      <w:r>
        <w:rPr>
          <w:b/>
          <w:color w:val="auto"/>
        </w:rPr>
        <w:t>едномесечно</w:t>
      </w:r>
      <w:r>
        <w:rPr>
          <w:color w:val="auto"/>
        </w:rPr>
        <w:t xml:space="preserve"> предизвестие, в случай, че </w:t>
      </w:r>
      <w:r>
        <w:rPr>
          <w:b/>
          <w:bCs/>
          <w:color w:val="auto"/>
        </w:rPr>
        <w:t xml:space="preserve">ИЗПЪЛНИТЕЛЯТ: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>1. Загуби качеството с</w:t>
      </w:r>
      <w:r>
        <w:rPr>
          <w:color w:val="auto"/>
        </w:rPr>
        <w:t xml:space="preserve">и на доставчик на социална услуга, която е предмет на настоящия договор.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2. Не спазва задълженията си във връзка с предоставяне на техническите и финансови отчети в предвидените срокове и формати или предоставените отчети са с невярно съдържание.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3. Ако </w:t>
      </w:r>
      <w:r>
        <w:rPr>
          <w:color w:val="auto"/>
        </w:rPr>
        <w:t xml:space="preserve">предлаганите услуги не съответстват на критериите и стандартите за предоставянето на социални услуги.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4. Ако </w:t>
      </w:r>
      <w:r>
        <w:rPr>
          <w:b/>
          <w:bCs/>
          <w:color w:val="auto"/>
        </w:rPr>
        <w:t xml:space="preserve">ИЗПЪЛНИТЕЛЯТ </w:t>
      </w:r>
      <w:r>
        <w:rPr>
          <w:color w:val="auto"/>
        </w:rPr>
        <w:t>не предоставя договорените услуги или предоставя такива, които значително се отклоняват от типа на договорените услуги и/или от метод</w:t>
      </w:r>
      <w:r>
        <w:rPr>
          <w:color w:val="auto"/>
        </w:rPr>
        <w:t xml:space="preserve">ологията на предоставяне на социалните услуги.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  <w:lang w:val="en-US"/>
        </w:rPr>
      </w:pPr>
      <w:r>
        <w:rPr>
          <w:color w:val="auto"/>
        </w:rPr>
        <w:t xml:space="preserve">(5) </w:t>
      </w:r>
      <w:r>
        <w:rPr>
          <w:b/>
          <w:bCs/>
          <w:color w:val="auto"/>
        </w:rPr>
        <w:t xml:space="preserve">ИЗПЪЛНИТЕЛЯТ </w:t>
      </w:r>
      <w:r>
        <w:rPr>
          <w:color w:val="auto"/>
        </w:rPr>
        <w:t xml:space="preserve">може да прекрати едностранно договора след отправено едномесечно предизвестие в случай, че </w:t>
      </w:r>
      <w:r>
        <w:rPr>
          <w:b/>
          <w:bCs/>
          <w:color w:val="auto"/>
        </w:rPr>
        <w:t xml:space="preserve">ВЪЗЛОЖИТЕЛЯТ </w:t>
      </w:r>
      <w:r>
        <w:rPr>
          <w:color w:val="auto"/>
        </w:rPr>
        <w:t>виновно не изпълнява задълженията си по този договор за предоставяне на необходимото фи</w:t>
      </w:r>
      <w:r>
        <w:rPr>
          <w:color w:val="auto"/>
        </w:rPr>
        <w:t xml:space="preserve">нансиране и оказване на съдействие при предоставяне на социалните услуги. </w:t>
      </w:r>
    </w:p>
    <w:p w:rsidR="00A8355F" w:rsidRDefault="003058B3">
      <w:pPr>
        <w:pStyle w:val="Default"/>
        <w:spacing w:after="12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VIII. НЕИЗПЪЛНЕНИЕ НА ДОГОВОРА И НЕУСТОЙКИ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11 </w:t>
      </w:r>
      <w:r>
        <w:rPr>
          <w:color w:val="auto"/>
        </w:rPr>
        <w:t xml:space="preserve">(1) В случай, че дейностите по предоставяне на социалните услуги, предмет на настоящия договор, бъдат преустановени по вина на </w:t>
      </w:r>
      <w:r>
        <w:rPr>
          <w:b/>
          <w:bCs/>
          <w:color w:val="auto"/>
        </w:rPr>
        <w:t>ИЗПЪ</w:t>
      </w:r>
      <w:r>
        <w:rPr>
          <w:b/>
          <w:bCs/>
          <w:color w:val="auto"/>
        </w:rPr>
        <w:t xml:space="preserve">ЛНИТЕЛЯ, </w:t>
      </w:r>
      <w:r>
        <w:rPr>
          <w:color w:val="auto"/>
        </w:rPr>
        <w:t xml:space="preserve">то той дължи на </w:t>
      </w:r>
      <w:r>
        <w:rPr>
          <w:b/>
          <w:color w:val="auto"/>
        </w:rPr>
        <w:t>ВЪЗЛОЖИТЕЛЯ</w:t>
      </w:r>
      <w:r>
        <w:rPr>
          <w:color w:val="auto"/>
        </w:rPr>
        <w:t xml:space="preserve"> неустойка в размер на 5 % от предоставените до момента неотчетени средства. Неустойката не изключва правото на </w:t>
      </w:r>
      <w:r>
        <w:rPr>
          <w:b/>
          <w:bCs/>
          <w:color w:val="auto"/>
        </w:rPr>
        <w:t xml:space="preserve">ВЪЗЛОЖИТЕЛЯ </w:t>
      </w:r>
      <w:r>
        <w:rPr>
          <w:color w:val="auto"/>
        </w:rPr>
        <w:t xml:space="preserve">да претендира за обезщетение за вреди по общия ред.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(2) </w:t>
      </w:r>
      <w:r>
        <w:rPr>
          <w:b/>
          <w:bCs/>
          <w:color w:val="auto"/>
        </w:rPr>
        <w:t xml:space="preserve">ИЗПЪЛНИТЕЛЯТ </w:t>
      </w:r>
      <w:r>
        <w:rPr>
          <w:color w:val="auto"/>
        </w:rPr>
        <w:t xml:space="preserve">трябва да възстанови на </w:t>
      </w:r>
      <w:r>
        <w:rPr>
          <w:b/>
          <w:bCs/>
          <w:color w:val="auto"/>
        </w:rPr>
        <w:t>ВЪ</w:t>
      </w:r>
      <w:r>
        <w:rPr>
          <w:b/>
          <w:bCs/>
          <w:color w:val="auto"/>
        </w:rPr>
        <w:t xml:space="preserve">ЗЛОЖИТЕЛЯ </w:t>
      </w:r>
      <w:r>
        <w:rPr>
          <w:color w:val="auto"/>
        </w:rPr>
        <w:t xml:space="preserve">средствата разходвани за цели, извън предмета на настоящия договор, заедно със съответните лихви, считано от деня на неправомерното разходване на средствата.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 xml:space="preserve">(3) </w:t>
      </w:r>
      <w:r>
        <w:rPr>
          <w:b/>
          <w:bCs/>
        </w:rPr>
        <w:t xml:space="preserve">ИЗПЪЛНИТЕЛЯТ </w:t>
      </w:r>
      <w:r>
        <w:t xml:space="preserve">трябва да възстанови на </w:t>
      </w:r>
      <w:r>
        <w:rPr>
          <w:b/>
          <w:bCs/>
        </w:rPr>
        <w:t xml:space="preserve">ВЪЗЛОЖИТЕЛЯ </w:t>
      </w:r>
      <w:r>
        <w:t>предоставените средства, в случай,</w:t>
      </w:r>
      <w:r>
        <w:t xml:space="preserve"> че те са разходвани за цели, извън предмета на настоящия договор, заедно със съответните лихви, считано от деня на неправомерното разходване на средствата. </w:t>
      </w:r>
    </w:p>
    <w:p w:rsidR="00A8355F" w:rsidRDefault="003058B3">
      <w:pPr>
        <w:pStyle w:val="Default"/>
        <w:spacing w:after="120" w:line="276" w:lineRule="auto"/>
        <w:ind w:firstLine="567"/>
        <w:jc w:val="both"/>
      </w:pPr>
      <w:r>
        <w:t xml:space="preserve">(4) </w:t>
      </w:r>
      <w:r>
        <w:rPr>
          <w:b/>
          <w:bCs/>
        </w:rPr>
        <w:t xml:space="preserve">ИЗПЪЛНИТЕЛЯТ </w:t>
      </w:r>
      <w:r>
        <w:t xml:space="preserve">трябва да възстанови на </w:t>
      </w:r>
      <w:r>
        <w:rPr>
          <w:b/>
          <w:bCs/>
        </w:rPr>
        <w:t xml:space="preserve">ВЪЗЛОЖИТЕЛЯ </w:t>
      </w:r>
      <w:r>
        <w:t xml:space="preserve">неизразходваните средства в едномесечен срок </w:t>
      </w:r>
      <w:r>
        <w:t xml:space="preserve">от прекратяване на договора. </w:t>
      </w:r>
    </w:p>
    <w:p w:rsidR="00A8355F" w:rsidRDefault="00A8355F">
      <w:pPr>
        <w:pStyle w:val="Default"/>
        <w:spacing w:after="120" w:line="276" w:lineRule="auto"/>
        <w:ind w:firstLine="567"/>
        <w:jc w:val="both"/>
      </w:pPr>
    </w:p>
    <w:p w:rsidR="00A8355F" w:rsidRDefault="003058B3">
      <w:pPr>
        <w:pStyle w:val="Default"/>
        <w:spacing w:after="12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IX. ПРЕХОДНИ И ЗАКЛЮЧИТЕЛНИ РАЗПОРЕДБИ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12 </w:t>
      </w:r>
      <w:r>
        <w:rPr>
          <w:color w:val="auto"/>
        </w:rPr>
        <w:t>(1) Не се допуска възлагане на дейности по програмата за предоставяне на социални услуги на подизпълнители, както и съвместно предоставяне на услугите с други лица, освен с изричн</w:t>
      </w:r>
      <w:r>
        <w:rPr>
          <w:color w:val="auto"/>
        </w:rPr>
        <w:t xml:space="preserve">ото писмено одобрение на </w:t>
      </w:r>
      <w:r>
        <w:rPr>
          <w:b/>
          <w:bCs/>
          <w:color w:val="auto"/>
        </w:rPr>
        <w:t xml:space="preserve">ВЪЗЛОЖИТЕЛЯ. </w:t>
      </w:r>
    </w:p>
    <w:p w:rsidR="00A8355F" w:rsidRDefault="003058B3">
      <w:pPr>
        <w:pStyle w:val="Default"/>
        <w:spacing w:after="120" w:line="276" w:lineRule="auto"/>
        <w:ind w:firstLine="567"/>
        <w:jc w:val="both"/>
        <w:rPr>
          <w:color w:val="auto"/>
        </w:rPr>
      </w:pPr>
      <w:r>
        <w:rPr>
          <w:color w:val="auto"/>
        </w:rPr>
        <w:t xml:space="preserve">(2) В случай, че </w:t>
      </w:r>
      <w:r>
        <w:rPr>
          <w:b/>
          <w:bCs/>
          <w:color w:val="auto"/>
        </w:rPr>
        <w:t xml:space="preserve">ИЗПЪЛНИТЕЛЯТ </w:t>
      </w:r>
      <w:r>
        <w:rPr>
          <w:color w:val="auto"/>
        </w:rPr>
        <w:t xml:space="preserve">осъществява дейности по изпълнение на програмата за предоставяне на социални услуги на подизпълнител, то първия носи пълна отговорност за дейностите, възложени на подизпълнителя 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13 </w:t>
      </w:r>
      <w:r>
        <w:rPr>
          <w:color w:val="auto"/>
        </w:rPr>
        <w:t>Д</w:t>
      </w:r>
      <w:r>
        <w:rPr>
          <w:color w:val="auto"/>
        </w:rPr>
        <w:t xml:space="preserve">оговорът може да бъде изменян и допълван по взаимно съгласие на страните, изразено писмено. 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14 </w:t>
      </w:r>
      <w:r>
        <w:rPr>
          <w:color w:val="auto"/>
        </w:rPr>
        <w:t xml:space="preserve">Страните разрешават споровете, възникнали по повод изпълнението на настоящия договор чрез преговори, а при невъзможност – по съдебен ред. </w:t>
      </w:r>
    </w:p>
    <w:p w:rsidR="00A8355F" w:rsidRDefault="003058B3">
      <w:pPr>
        <w:pStyle w:val="Default"/>
        <w:spacing w:after="120" w:line="276" w:lineRule="auto"/>
        <w:jc w:val="both"/>
        <w:rPr>
          <w:color w:val="auto"/>
        </w:rPr>
      </w:pPr>
      <w:r>
        <w:rPr>
          <w:b/>
          <w:bCs/>
          <w:color w:val="auto"/>
        </w:rPr>
        <w:t xml:space="preserve">Чл. 15 </w:t>
      </w:r>
      <w:r>
        <w:rPr>
          <w:color w:val="auto"/>
        </w:rPr>
        <w:t>За неуреде</w:t>
      </w:r>
      <w:r>
        <w:rPr>
          <w:color w:val="auto"/>
        </w:rPr>
        <w:t xml:space="preserve">ни въпроси в настоящия договор се прилагат разпоредбите на действащото българско законодателство. </w:t>
      </w:r>
    </w:p>
    <w:p w:rsidR="00A8355F" w:rsidRDefault="003058B3">
      <w:pPr>
        <w:pStyle w:val="Default"/>
        <w:spacing w:after="120" w:line="276" w:lineRule="auto"/>
        <w:jc w:val="both"/>
        <w:rPr>
          <w:b/>
          <w:bCs/>
          <w:color w:val="auto"/>
        </w:rPr>
      </w:pPr>
      <w:r>
        <w:rPr>
          <w:color w:val="auto"/>
        </w:rPr>
        <w:t xml:space="preserve">Настоящият договор се изготви и подписа от страните в три еднообразни екземпляра, от които два за </w:t>
      </w:r>
      <w:r>
        <w:rPr>
          <w:b/>
          <w:bCs/>
          <w:color w:val="auto"/>
        </w:rPr>
        <w:t xml:space="preserve">ВЪЗЛОЖИТЕЛЯ </w:t>
      </w:r>
      <w:r>
        <w:rPr>
          <w:color w:val="auto"/>
        </w:rPr>
        <w:t xml:space="preserve">и един за </w:t>
      </w:r>
      <w:r>
        <w:rPr>
          <w:b/>
          <w:bCs/>
          <w:color w:val="auto"/>
        </w:rPr>
        <w:t xml:space="preserve">ИЗПЪЛНИТЕЛЯ. </w:t>
      </w:r>
    </w:p>
    <w:p w:rsidR="00A8355F" w:rsidRDefault="00A8355F">
      <w:pPr>
        <w:pStyle w:val="Default"/>
        <w:spacing w:after="120" w:line="276" w:lineRule="auto"/>
        <w:jc w:val="both"/>
        <w:rPr>
          <w:color w:val="auto"/>
          <w:lang w:val="en-US"/>
        </w:rPr>
      </w:pPr>
    </w:p>
    <w:tbl>
      <w:tblPr>
        <w:tblW w:w="8787" w:type="dxa"/>
        <w:tblLayout w:type="fixed"/>
        <w:tblLook w:val="04A0" w:firstRow="1" w:lastRow="0" w:firstColumn="1" w:lastColumn="0" w:noHBand="0" w:noVBand="1"/>
      </w:tblPr>
      <w:tblGrid>
        <w:gridCol w:w="4397"/>
        <w:gridCol w:w="4390"/>
      </w:tblGrid>
      <w:tr w:rsidR="00A8355F">
        <w:tc>
          <w:tcPr>
            <w:tcW w:w="4396" w:type="dxa"/>
            <w:shd w:val="clear" w:color="auto" w:fill="auto"/>
          </w:tcPr>
          <w:p w:rsidR="00A8355F" w:rsidRDefault="003058B3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b/>
                <w:sz w:val="25"/>
                <w:szCs w:val="25"/>
                <w:lang w:eastAsia="en-US"/>
              </w:rPr>
              <w:t>ЗА  ВЪЗЛОЖИТЕЛЯ:</w:t>
            </w:r>
            <w:r>
              <w:rPr>
                <w:rFonts w:eastAsia="Calibri"/>
                <w:sz w:val="25"/>
                <w:szCs w:val="25"/>
                <w:lang w:eastAsia="en-US"/>
              </w:rPr>
              <w:t xml:space="preserve">                                  </w:t>
            </w:r>
          </w:p>
        </w:tc>
        <w:tc>
          <w:tcPr>
            <w:tcW w:w="4390" w:type="dxa"/>
            <w:shd w:val="clear" w:color="auto" w:fill="auto"/>
          </w:tcPr>
          <w:p w:rsidR="00A8355F" w:rsidRDefault="003058B3">
            <w:pPr>
              <w:contextualSpacing/>
              <w:jc w:val="both"/>
              <w:rPr>
                <w:rFonts w:eastAsia="Calibri"/>
                <w:b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b/>
                <w:bCs/>
                <w:sz w:val="25"/>
                <w:szCs w:val="25"/>
                <w:lang w:eastAsia="en-US"/>
              </w:rPr>
              <w:t>ЗА ИЗПЪЛНИТЕЛЯ:</w:t>
            </w:r>
          </w:p>
        </w:tc>
      </w:tr>
      <w:tr w:rsidR="00A8355F">
        <w:tc>
          <w:tcPr>
            <w:tcW w:w="4396" w:type="dxa"/>
            <w:shd w:val="clear" w:color="auto" w:fill="auto"/>
          </w:tcPr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  <w:p w:rsidR="00A8355F" w:rsidRDefault="003058B3">
            <w:pPr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КМЕТ НА ОБЩИНА </w:t>
            </w:r>
          </w:p>
          <w:p w:rsidR="00A8355F" w:rsidRDefault="003058B3">
            <w:pPr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 xml:space="preserve">БАЛЧИК :    </w:t>
            </w:r>
          </w:p>
          <w:p w:rsidR="00A8355F" w:rsidRDefault="003058B3">
            <w:pPr>
              <w:contextualSpacing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/НИКОЛАЙ ДОБРЕВ АНГЕЛОВ/</w:t>
            </w:r>
          </w:p>
        </w:tc>
        <w:tc>
          <w:tcPr>
            <w:tcW w:w="4390" w:type="dxa"/>
            <w:shd w:val="clear" w:color="auto" w:fill="auto"/>
          </w:tcPr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  <w:p w:rsidR="00A8355F" w:rsidRDefault="00271A9F">
            <w:pPr>
              <w:contextualSpacing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……………………………</w:t>
            </w:r>
          </w:p>
          <w:p w:rsidR="00A8355F" w:rsidRDefault="003058B3">
            <w:pPr>
              <w:contextualSpacing/>
              <w:rPr>
                <w:rFonts w:eastAsia="Calibri"/>
                <w:bCs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  <w:lang w:eastAsia="en-US"/>
              </w:rPr>
              <w:t>/</w:t>
            </w:r>
            <w:r w:rsidR="00271A9F">
              <w:rPr>
                <w:rFonts w:eastAsia="Calibri"/>
                <w:sz w:val="25"/>
                <w:szCs w:val="25"/>
                <w:lang w:eastAsia="en-US"/>
              </w:rPr>
              <w:t xml:space="preserve">…………………. </w:t>
            </w:r>
            <w:r>
              <w:rPr>
                <w:rFonts w:eastAsia="Calibri"/>
                <w:sz w:val="25"/>
                <w:szCs w:val="25"/>
                <w:lang w:eastAsia="en-US"/>
              </w:rPr>
              <w:t>/</w:t>
            </w:r>
          </w:p>
        </w:tc>
      </w:tr>
      <w:tr w:rsidR="00A8355F">
        <w:tc>
          <w:tcPr>
            <w:tcW w:w="4396" w:type="dxa"/>
            <w:shd w:val="clear" w:color="auto" w:fill="auto"/>
          </w:tcPr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</w:tc>
      </w:tr>
      <w:tr w:rsidR="00A8355F">
        <w:tc>
          <w:tcPr>
            <w:tcW w:w="4396" w:type="dxa"/>
            <w:shd w:val="clear" w:color="auto" w:fill="auto"/>
          </w:tcPr>
          <w:p w:rsidR="00A8355F" w:rsidRDefault="003058B3">
            <w:pPr>
              <w:widowControl w:val="0"/>
            </w:pPr>
            <w:r>
              <w:t xml:space="preserve">ГЛ. СЧЕТОВОДИТЕЛ:                      </w:t>
            </w:r>
          </w:p>
          <w:p w:rsidR="00A8355F" w:rsidRDefault="003058B3">
            <w:pPr>
              <w:widowControl w:val="0"/>
            </w:pPr>
            <w:r>
              <w:t xml:space="preserve"> /МИХАИЛ ДИМОВ/</w:t>
            </w:r>
          </w:p>
          <w:p w:rsidR="00A8355F" w:rsidRDefault="00A8355F">
            <w:pPr>
              <w:widowControl w:val="0"/>
              <w:rPr>
                <w:rFonts w:eastAsia="Courier New"/>
                <w:color w:val="000000"/>
              </w:rPr>
            </w:pPr>
          </w:p>
          <w:p w:rsidR="00A8355F" w:rsidRDefault="003058B3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Съгласувал:</w:t>
            </w:r>
          </w:p>
          <w:p w:rsidR="00A8355F" w:rsidRDefault="003058B3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>Ст. юрисконсулт:</w:t>
            </w:r>
          </w:p>
          <w:p w:rsidR="00A8355F" w:rsidRDefault="003058B3">
            <w:pPr>
              <w:widowControl w:val="0"/>
              <w:rPr>
                <w:rFonts w:eastAsia="Courier New"/>
                <w:color w:val="000000"/>
              </w:rPr>
            </w:pPr>
            <w:r>
              <w:rPr>
                <w:rFonts w:eastAsia="Courier New"/>
                <w:color w:val="000000"/>
              </w:rPr>
              <w:t xml:space="preserve"> /ПЛАМЕНА </w:t>
            </w:r>
            <w:r>
              <w:rPr>
                <w:rFonts w:eastAsia="Courier New"/>
                <w:color w:val="000000"/>
              </w:rPr>
              <w:t>ДИМИТРОВА/</w:t>
            </w:r>
          </w:p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</w:tc>
        <w:tc>
          <w:tcPr>
            <w:tcW w:w="4390" w:type="dxa"/>
            <w:shd w:val="clear" w:color="auto" w:fill="auto"/>
          </w:tcPr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  <w:p w:rsidR="00A8355F" w:rsidRDefault="00A8355F">
            <w:pPr>
              <w:contextualSpacing/>
              <w:jc w:val="both"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  <w:p w:rsidR="00A8355F" w:rsidRDefault="00A8355F">
            <w:pPr>
              <w:contextualSpacing/>
              <w:rPr>
                <w:rFonts w:eastAsia="Calibri"/>
                <w:bCs/>
                <w:sz w:val="25"/>
                <w:szCs w:val="25"/>
                <w:lang w:eastAsia="en-US"/>
              </w:rPr>
            </w:pPr>
          </w:p>
        </w:tc>
      </w:tr>
    </w:tbl>
    <w:p w:rsidR="00A8355F" w:rsidRDefault="00A8355F">
      <w:pPr>
        <w:pStyle w:val="Default"/>
        <w:spacing w:before="120" w:after="120" w:line="276" w:lineRule="auto"/>
        <w:jc w:val="both"/>
        <w:rPr>
          <w:color w:val="auto"/>
        </w:rPr>
      </w:pPr>
    </w:p>
    <w:sectPr w:rsidR="00A8355F">
      <w:footerReference w:type="even" r:id="rId10"/>
      <w:footerReference w:type="default" r:id="rId11"/>
      <w:footerReference w:type="first" r:id="rId12"/>
      <w:pgSz w:w="11906" w:h="16838"/>
      <w:pgMar w:top="1134" w:right="1134" w:bottom="1134" w:left="1418" w:header="0" w:footer="544" w:gutter="567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B3" w:rsidRDefault="003058B3">
      <w:r>
        <w:separator/>
      </w:r>
    </w:p>
  </w:endnote>
  <w:endnote w:type="continuationSeparator" w:id="0">
    <w:p w:rsidR="003058B3" w:rsidRDefault="003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55F" w:rsidRDefault="00A835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6310610"/>
      <w:docPartObj>
        <w:docPartGallery w:val="Page Numbers (Bottom of Page)"/>
        <w:docPartUnique/>
      </w:docPartObj>
    </w:sdtPr>
    <w:sdtEndPr/>
    <w:sdtContent>
      <w:p w:rsidR="00A8355F" w:rsidRDefault="003058B3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A8355F" w:rsidRDefault="00A835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3741665"/>
      <w:docPartObj>
        <w:docPartGallery w:val="Page Numbers (Bottom of Page)"/>
        <w:docPartUnique/>
      </w:docPartObj>
    </w:sdtPr>
    <w:sdtEndPr/>
    <w:sdtContent>
      <w:p w:rsidR="00A8355F" w:rsidRDefault="003058B3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:rsidR="00A8355F" w:rsidRDefault="00A835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B3" w:rsidRDefault="003058B3">
      <w:r>
        <w:separator/>
      </w:r>
    </w:p>
  </w:footnote>
  <w:footnote w:type="continuationSeparator" w:id="0">
    <w:p w:rsidR="003058B3" w:rsidRDefault="0030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3265E"/>
    <w:multiLevelType w:val="multilevel"/>
    <w:tmpl w:val="1890B9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FB27E2E"/>
    <w:multiLevelType w:val="multilevel"/>
    <w:tmpl w:val="F886B3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5F"/>
    <w:rsid w:val="00271A9F"/>
    <w:rsid w:val="003058B3"/>
    <w:rsid w:val="00A8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6E99F133"/>
  <w15:docId w15:val="{FBC79754-FA3C-4FD2-90A8-7093EDE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8B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qFormat/>
    <w:rsid w:val="00700C6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Долен колонтитул Знак"/>
    <w:basedOn w:val="a0"/>
    <w:link w:val="a6"/>
    <w:uiPriority w:val="99"/>
    <w:qFormat/>
    <w:rsid w:val="00700C66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7">
    <w:name w:val="Изнесен текст Знак"/>
    <w:basedOn w:val="a0"/>
    <w:link w:val="a8"/>
    <w:uiPriority w:val="99"/>
    <w:semiHidden/>
    <w:qFormat/>
    <w:rsid w:val="00CA7889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20">
    <w:name w:val="Заглавие 2 Знак"/>
    <w:basedOn w:val="a0"/>
    <w:link w:val="2"/>
    <w:uiPriority w:val="99"/>
    <w:qFormat/>
    <w:rsid w:val="00DB3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bg-BG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Указател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148B1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700C66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5"/>
    <w:uiPriority w:val="99"/>
    <w:unhideWhenUsed/>
    <w:rsid w:val="00700C66"/>
    <w:pPr>
      <w:tabs>
        <w:tab w:val="center" w:pos="4536"/>
        <w:tab w:val="right" w:pos="9072"/>
      </w:tabs>
    </w:pPr>
  </w:style>
  <w:style w:type="paragraph" w:styleId="a8">
    <w:name w:val="Balloon Text"/>
    <w:basedOn w:val="a"/>
    <w:link w:val="a7"/>
    <w:uiPriority w:val="99"/>
    <w:semiHidden/>
    <w:unhideWhenUsed/>
    <w:qFormat/>
    <w:rsid w:val="00CA7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6225-26AA-4C08-A060-01031A97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2082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dc:description/>
  <cp:lastModifiedBy>ISKRENOV</cp:lastModifiedBy>
  <cp:revision>16</cp:revision>
  <cp:lastPrinted>2021-11-12T09:45:00Z</cp:lastPrinted>
  <dcterms:created xsi:type="dcterms:W3CDTF">2025-02-04T09:47:00Z</dcterms:created>
  <dcterms:modified xsi:type="dcterms:W3CDTF">2025-02-27T08:23:00Z</dcterms:modified>
  <dc:language>bg-BG</dc:language>
</cp:coreProperties>
</file>