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9DEE" w14:textId="77777777" w:rsidR="00595445" w:rsidRPr="00575D2E" w:rsidRDefault="00595445" w:rsidP="00595445">
      <w:pPr>
        <w:spacing w:after="0" w:line="240" w:lineRule="auto"/>
        <w:ind w:left="4509"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575D2E">
        <w:rPr>
          <w:rFonts w:ascii="Times New Roman" w:eastAsia="Times New Roman" w:hAnsi="Times New Roman" w:cs="Times New Roman"/>
          <w:color w:val="000000"/>
          <w:lang w:eastAsia="bg-BG"/>
        </w:rPr>
        <w:t xml:space="preserve">Приложение № 5 към </w:t>
      </w:r>
      <w:r w:rsidRPr="00575D2E">
        <w:rPr>
          <w:rFonts w:ascii="Times New Roman" w:eastAsia="Times New Roman" w:hAnsi="Times New Roman" w:cs="Times New Roman"/>
          <w:color w:val="8B0000"/>
          <w:u w:val="single"/>
          <w:lang w:eastAsia="bg-BG"/>
        </w:rPr>
        <w:t>чл. 4, ал. 1</w:t>
      </w:r>
    </w:p>
    <w:p w14:paraId="549F121D" w14:textId="77777777" w:rsidR="00595445" w:rsidRPr="00575D2E" w:rsidRDefault="00595445" w:rsidP="00595445">
      <w:pPr>
        <w:spacing w:after="0" w:line="240" w:lineRule="auto"/>
        <w:ind w:left="5664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575D2E">
        <w:rPr>
          <w:rFonts w:ascii="Times New Roman" w:eastAsia="Times New Roman" w:hAnsi="Times New Roman" w:cs="Times New Roman"/>
          <w:color w:val="000000"/>
          <w:lang w:eastAsia="bg-BG"/>
        </w:rPr>
        <w:t>(</w:t>
      </w:r>
      <w:r w:rsidRPr="00575D2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Ново - ДВ, бр. 12 от 2016 г., в сила от 12.02.2016 г., изм. и доп. - ДВ, бр. 3 от 2018 г., изм. - ДВ, бр. 31 от 2019 г., в сила от 12.04.2019 г., доп. - ДВ, бр. 67 от 2019 г., в сила от 28.08.2019 г</w:t>
      </w:r>
      <w:r w:rsidRPr="00575D2E">
        <w:rPr>
          <w:rFonts w:ascii="Times New Roman" w:eastAsia="Times New Roman" w:hAnsi="Times New Roman" w:cs="Times New Roman"/>
          <w:color w:val="000000"/>
          <w:lang w:eastAsia="bg-BG"/>
        </w:rPr>
        <w:t>.)</w:t>
      </w:r>
    </w:p>
    <w:p w14:paraId="128BB532" w14:textId="77777777" w:rsidR="00D1793D" w:rsidRDefault="00D1793D" w:rsidP="00D1793D">
      <w:pPr>
        <w:widowControl w:val="0"/>
        <w:spacing w:after="0" w:line="100" w:lineRule="atLeast"/>
        <w:rPr>
          <w:rFonts w:ascii="Times New Roman" w:hAnsi="Times New Roman" w:cs="Times New Roman"/>
          <w:b/>
        </w:rPr>
      </w:pPr>
    </w:p>
    <w:p w14:paraId="48644D37" w14:textId="750282E9" w:rsidR="00AB243F" w:rsidRPr="00627AFF" w:rsidRDefault="00D1793D" w:rsidP="00EA198D">
      <w:pPr>
        <w:widowControl w:val="0"/>
        <w:spacing w:after="0" w:line="100" w:lineRule="atLeast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</w:t>
      </w:r>
      <w:r w:rsidR="00AB243F" w:rsidRPr="00CE2B63">
        <w:rPr>
          <w:rFonts w:ascii="Times New Roman" w:hAnsi="Times New Roman" w:cs="Times New Roman"/>
          <w:b/>
        </w:rPr>
        <w:t>ДО</w:t>
      </w:r>
      <w:r w:rsidR="00AB243F">
        <w:rPr>
          <w:rFonts w:ascii="Times New Roman" w:hAnsi="Times New Roman" w:cs="Times New Roman"/>
          <w:b/>
        </w:rPr>
        <w:t xml:space="preserve"> </w:t>
      </w:r>
      <w:r w:rsidR="00AB243F">
        <w:rPr>
          <w:rFonts w:ascii="Times New Roman" w:hAnsi="Times New Roman" w:cs="Times New Roman"/>
          <w:b/>
          <w:lang w:val="en-US"/>
        </w:rPr>
        <w:t>:</w:t>
      </w:r>
      <w:r w:rsidR="00AB243F">
        <w:rPr>
          <w:rFonts w:ascii="Times New Roman" w:hAnsi="Times New Roman" w:cs="Times New Roman"/>
          <w:b/>
        </w:rPr>
        <w:t xml:space="preserve"> </w:t>
      </w:r>
      <w:r w:rsidR="00AB243F">
        <w:rPr>
          <w:rFonts w:ascii="Times New Roman" w:hAnsi="Times New Roman" w:cs="Times New Roman"/>
          <w:b/>
          <w:lang w:val="en-US"/>
        </w:rPr>
        <w:t xml:space="preserve"> </w:t>
      </w:r>
      <w:r w:rsidR="00AB243F">
        <w:rPr>
          <w:rFonts w:ascii="Times New Roman" w:hAnsi="Times New Roman" w:cs="Times New Roman"/>
          <w:b/>
        </w:rPr>
        <w:t xml:space="preserve">КМЕТА НА </w:t>
      </w:r>
      <w:r w:rsidR="00AB243F" w:rsidRPr="00185EBB">
        <w:rPr>
          <w:rFonts w:ascii="Times New Roman" w:hAnsi="Times New Roman" w:cs="Times New Roman"/>
          <w:b/>
        </w:rPr>
        <w:t>ОБЩИНА</w:t>
      </w:r>
      <w:r w:rsidR="002C4426">
        <w:rPr>
          <w:rFonts w:ascii="Times New Roman" w:hAnsi="Times New Roman" w:cs="Times New Roman"/>
          <w:b/>
          <w:lang w:val="en-US"/>
        </w:rPr>
        <w:t xml:space="preserve"> </w:t>
      </w:r>
      <w:r w:rsidR="00627AFF">
        <w:rPr>
          <w:rFonts w:ascii="Times New Roman" w:hAnsi="Times New Roman" w:cs="Times New Roman"/>
          <w:b/>
        </w:rPr>
        <w:t>БАЛЧИК</w:t>
      </w:r>
    </w:p>
    <w:p w14:paraId="0E9FCFBD" w14:textId="23F14EA4" w:rsidR="00AB243F" w:rsidRDefault="00AB243F" w:rsidP="00AB24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14:paraId="7B62C044" w14:textId="77777777" w:rsidR="00AB243F" w:rsidRDefault="00AB243F" w:rsidP="00AB24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14:paraId="21C311A0" w14:textId="3C11B6D5" w:rsidR="00AB243F" w:rsidRPr="00A76632" w:rsidRDefault="00AB243F" w:rsidP="00AB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76632">
        <w:rPr>
          <w:rFonts w:ascii="Times New Roman" w:eastAsia="Times New Roman" w:hAnsi="Times New Roman" w:cs="Times New Roman"/>
          <w:b/>
          <w:bCs/>
          <w:lang w:eastAsia="bg-BG"/>
        </w:rPr>
        <w:t>УВЕДОМЛЕНИЕ</w:t>
      </w:r>
    </w:p>
    <w:p w14:paraId="5387F726" w14:textId="77777777" w:rsidR="00AB243F" w:rsidRPr="00275A65" w:rsidRDefault="00AB243F" w:rsidP="00AB24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275A65">
        <w:rPr>
          <w:rFonts w:ascii="Times New Roman" w:eastAsia="Times New Roman" w:hAnsi="Times New Roman" w:cs="Times New Roman"/>
          <w:lang w:eastAsia="bg-BG"/>
        </w:rPr>
        <w:t>за инвестиционно предложение</w:t>
      </w:r>
    </w:p>
    <w:p w14:paraId="22214659" w14:textId="77777777" w:rsidR="00AB243F" w:rsidRDefault="00AB243F" w:rsidP="00AB24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275A65">
        <w:rPr>
          <w:rFonts w:ascii="Times New Roman" w:eastAsia="Times New Roman" w:hAnsi="Times New Roman" w:cs="Times New Roman"/>
          <w:lang w:eastAsia="bg-BG"/>
        </w:rPr>
        <w:t>от</w:t>
      </w:r>
    </w:p>
    <w:p w14:paraId="142B8199" w14:textId="77777777" w:rsidR="004D28FB" w:rsidRPr="00B91275" w:rsidRDefault="00AB243F" w:rsidP="004D28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C75D33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„</w:t>
      </w:r>
      <w:r w:rsidR="004D28FB" w:rsidRPr="00B91275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Лидл България ЕООД енд КО“ КД, ЕИК 131071587</w:t>
      </w:r>
    </w:p>
    <w:p w14:paraId="64178E3E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о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 xml:space="preserve">бласт София,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о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бщина Елин Пелин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 xml:space="preserve"> с. Равно поле, п.к. 2129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ул. "3-ти Март" № 1</w:t>
      </w:r>
    </w:p>
    <w:p w14:paraId="76B8BB2F" w14:textId="77777777" w:rsidR="004D28FB" w:rsidRPr="003C5644" w:rsidRDefault="004D28FB" w:rsidP="004D28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Телефон: 8026600, Факс: 8026610 ;</w:t>
      </w:r>
    </w:p>
    <w:p w14:paraId="27F1F209" w14:textId="77777777" w:rsidR="004D28FB" w:rsidRPr="003C5644" w:rsidRDefault="004D28FB" w:rsidP="004D28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bg-BG"/>
        </w:rPr>
      </w:pPr>
      <w:r w:rsidRPr="003C564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bg-BG"/>
        </w:rPr>
        <w:t>(име, адрес и телефон за контакт)</w:t>
      </w:r>
    </w:p>
    <w:p w14:paraId="07DF15C5" w14:textId="77777777" w:rsidR="004D28FB" w:rsidRPr="003C5644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452D985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о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 xml:space="preserve">бласт София,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о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бщина Елин Пелин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 xml:space="preserve"> с. Равно поле, п.к. 2129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ул. "3-ти Март" № 1</w:t>
      </w:r>
    </w:p>
    <w:p w14:paraId="496F8A93" w14:textId="77777777" w:rsidR="004D28FB" w:rsidRPr="003C5644" w:rsidRDefault="004D28FB" w:rsidP="004D28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bg-BG"/>
        </w:rPr>
      </w:pPr>
      <w:r w:rsidRPr="003C564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bg-BG"/>
        </w:rPr>
        <w:t>(седалище)</w:t>
      </w:r>
    </w:p>
    <w:p w14:paraId="5723F946" w14:textId="77777777" w:rsidR="004D28FB" w:rsidRPr="003C5644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A1EE466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 xml:space="preserve">Пълен пощенски адрес: </w:t>
      </w:r>
    </w:p>
    <w:p w14:paraId="2E2CDB19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о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 xml:space="preserve">бласт София,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о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бщина Елин Пелин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 xml:space="preserve"> с. Равно поле, п.к. 2129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ул. "3-ти Март" № 1</w:t>
      </w:r>
    </w:p>
    <w:p w14:paraId="09DE10D9" w14:textId="77777777" w:rsidR="004D28FB" w:rsidRPr="003C5644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2739023E" w14:textId="77777777" w:rsidR="004D28FB" w:rsidRDefault="004D28FB" w:rsidP="004D28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Телефон, факс и ел. поща (е-</w:t>
      </w:r>
      <w:proofErr w:type="spellStart"/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mail</w:t>
      </w:r>
      <w:proofErr w:type="spellEnd"/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 xml:space="preserve">): </w:t>
      </w:r>
    </w:p>
    <w:p w14:paraId="5117BAD9" w14:textId="77777777" w:rsidR="004D28FB" w:rsidRPr="003C5644" w:rsidRDefault="004D28FB" w:rsidP="004D28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C5644">
        <w:rPr>
          <w:rFonts w:ascii="Times New Roman" w:eastAsia="Times New Roman" w:hAnsi="Times New Roman" w:cs="Times New Roman"/>
          <w:color w:val="000000"/>
          <w:lang w:eastAsia="bg-BG"/>
        </w:rPr>
        <w:t>Телефон: 8026600, Факс: 8026610 ; Адрес на електронна поща: info@lidl.bg</w:t>
      </w:r>
    </w:p>
    <w:p w14:paraId="1667E4C3" w14:textId="77777777" w:rsidR="004D28FB" w:rsidRPr="00764CF2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58FF9A4D" w14:textId="77777777" w:rsidR="00EA198D" w:rsidRPr="00500747" w:rsidRDefault="00EA198D" w:rsidP="00EA198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За</w:t>
      </w:r>
      <w:r w:rsidRPr="00500747">
        <w:rPr>
          <w:rFonts w:ascii="Times New Roman" w:eastAsia="Times New Roman" w:hAnsi="Times New Roman" w:cs="Times New Roman"/>
          <w:color w:val="000000" w:themeColor="text1"/>
          <w:lang w:eastAsia="bg-BG"/>
        </w:rPr>
        <w:t>конни представители на дружеството-възложител:</w:t>
      </w:r>
    </w:p>
    <w:p w14:paraId="60CF54E9" w14:textId="77777777" w:rsidR="00EA198D" w:rsidRPr="00500747" w:rsidRDefault="00EA198D" w:rsidP="00EA198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о</w:t>
      </w:r>
      <w:r w:rsidRPr="0050074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т неограничено отговорния съдружник "ЛИДЛ БЪЛГАРИЯ" ЕООД, ЕИК 130993772 чрез двама от неговите управители или чрез един негов управител и един негов прокурист: </w:t>
      </w:r>
    </w:p>
    <w:p w14:paraId="0CF95FCA" w14:textId="77777777" w:rsidR="00EA198D" w:rsidRDefault="00EA198D" w:rsidP="00EA198D">
      <w:pPr>
        <w:pStyle w:val="a5"/>
        <w:numPr>
          <w:ilvl w:val="0"/>
          <w:numId w:val="18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ED2B3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Георги Георгиев Иванов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–</w:t>
      </w:r>
      <w:r w:rsidRPr="00ED2B3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Управител</w:t>
      </w:r>
    </w:p>
    <w:p w14:paraId="55DC867F" w14:textId="77777777" w:rsidR="00EA198D" w:rsidRPr="00ED2B37" w:rsidRDefault="00EA198D" w:rsidP="00EA198D">
      <w:pPr>
        <w:pStyle w:val="a5"/>
        <w:numPr>
          <w:ilvl w:val="0"/>
          <w:numId w:val="18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50074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Чавдар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Маринов </w:t>
      </w:r>
      <w:r w:rsidRPr="0050074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Михайлов –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П</w:t>
      </w:r>
      <w:r w:rsidRPr="0050074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рокурист </w:t>
      </w:r>
    </w:p>
    <w:p w14:paraId="0820A63C" w14:textId="77777777" w:rsidR="00EA198D" w:rsidRPr="00764CF2" w:rsidRDefault="00EA198D" w:rsidP="00EA198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6795F515" w14:textId="77777777" w:rsidR="00EA198D" w:rsidRDefault="00EA198D" w:rsidP="00EA19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D92BAC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Лице за контакти: Владимир </w:t>
      </w:r>
      <w:proofErr w:type="spellStart"/>
      <w:r w:rsidRPr="00D92BAC">
        <w:rPr>
          <w:rFonts w:ascii="Times New Roman" w:eastAsia="Times New Roman" w:hAnsi="Times New Roman" w:cs="Times New Roman"/>
          <w:color w:val="000000" w:themeColor="text1"/>
          <w:lang w:eastAsia="bg-BG"/>
        </w:rPr>
        <w:t>Пилчев</w:t>
      </w:r>
      <w:proofErr w:type="spellEnd"/>
      <w:r w:rsidRPr="00D92BAC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, Телефон: </w:t>
      </w:r>
      <w:hyperlink r:id="rId8" w:tgtFrame="_blank" w:history="1">
        <w:r w:rsidRPr="00D92BAC">
          <w:rPr>
            <w:rStyle w:val="a3"/>
            <w:rFonts w:ascii="Times New Roman" w:hAnsi="Times New Roman" w:cs="Times New Roman"/>
            <w:color w:val="000000" w:themeColor="text1"/>
          </w:rPr>
          <w:t>+35928026 842</w:t>
        </w:r>
      </w:hyperlink>
      <w:r w:rsidRPr="00D92BAC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; </w:t>
      </w:r>
    </w:p>
    <w:p w14:paraId="7EE803B0" w14:textId="77777777" w:rsidR="00EA198D" w:rsidRPr="00D92BAC" w:rsidRDefault="00EA198D" w:rsidP="00EA19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D92BAC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Адрес на електронна поща: </w:t>
      </w:r>
      <w:r w:rsidRPr="00D92BAC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>vladimir</w:t>
      </w:r>
      <w:r w:rsidRPr="00D92BAC">
        <w:rPr>
          <w:rFonts w:ascii="Times New Roman" w:eastAsia="Times New Roman" w:hAnsi="Times New Roman" w:cs="Times New Roman"/>
          <w:color w:val="000000" w:themeColor="text1"/>
          <w:lang w:eastAsia="bg-BG"/>
        </w:rPr>
        <w:t>.</w:t>
      </w:r>
      <w:proofErr w:type="spellStart"/>
      <w:r w:rsidRPr="00D92BAC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>pilchev</w:t>
      </w:r>
      <w:proofErr w:type="spellEnd"/>
      <w:r w:rsidRPr="00D92BAC">
        <w:rPr>
          <w:rFonts w:ascii="Times New Roman" w:eastAsia="Times New Roman" w:hAnsi="Times New Roman" w:cs="Times New Roman"/>
          <w:color w:val="000000" w:themeColor="text1"/>
          <w:lang w:eastAsia="bg-BG"/>
        </w:rPr>
        <w:t>@lidl.bg</w:t>
      </w:r>
    </w:p>
    <w:p w14:paraId="6CED9B7A" w14:textId="06FF98BF" w:rsidR="00AB243F" w:rsidRDefault="00AB243F" w:rsidP="004D28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2D1290B5" w14:textId="77777777" w:rsidR="00AB243F" w:rsidRPr="00407ADA" w:rsidRDefault="00AB243F" w:rsidP="00AB24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bg-BG"/>
        </w:rPr>
      </w:pPr>
    </w:p>
    <w:p w14:paraId="2DAC68A9" w14:textId="72727C2C" w:rsidR="00AB243F" w:rsidRPr="00AD0091" w:rsidRDefault="00AB243F" w:rsidP="00AB243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bg-BG"/>
        </w:rPr>
      </w:pPr>
      <w:r w:rsidRPr="00B0260D">
        <w:rPr>
          <w:rFonts w:ascii="Times New Roman" w:eastAsia="Times New Roman" w:hAnsi="Times New Roman" w:cs="Times New Roman"/>
          <w:b/>
          <w:bCs/>
          <w:lang w:eastAsia="bg-BG"/>
        </w:rPr>
        <w:t>УВАЖАЕМИ Г-Н/Г-ЖО</w:t>
      </w:r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КМЕТ,</w:t>
      </w:r>
    </w:p>
    <w:p w14:paraId="3700CF1B" w14:textId="343EA54F" w:rsidR="00575D2E" w:rsidRPr="00351D6E" w:rsidRDefault="00575D2E" w:rsidP="00B9127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79C3E714" w14:textId="39891664" w:rsidR="009C7CC1" w:rsidRPr="007716DC" w:rsidRDefault="009C7CC1" w:rsidP="009C7CC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7716DC">
        <w:rPr>
          <w:rFonts w:ascii="Times New Roman" w:eastAsia="Times New Roman" w:hAnsi="Times New Roman" w:cs="Times New Roman"/>
          <w:color w:val="000000"/>
          <w:lang w:eastAsia="bg-BG"/>
        </w:rPr>
        <w:t>Уведомяваме Ви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на най-ранен етап</w:t>
      </w:r>
      <w:r w:rsidRPr="007716DC">
        <w:rPr>
          <w:rFonts w:ascii="Times New Roman" w:eastAsia="Times New Roman" w:hAnsi="Times New Roman" w:cs="Times New Roman"/>
          <w:color w:val="000000"/>
          <w:lang w:eastAsia="bg-BG"/>
        </w:rPr>
        <w:t xml:space="preserve">, че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дружество </w:t>
      </w:r>
      <w:r w:rsidRPr="00C52091">
        <w:rPr>
          <w:rFonts w:ascii="Times New Roman" w:eastAsia="Times New Roman" w:hAnsi="Times New Roman" w:cs="Times New Roman"/>
          <w:color w:val="000000"/>
          <w:lang w:eastAsia="bg-BG"/>
        </w:rPr>
        <w:t>„</w:t>
      </w:r>
      <w:r w:rsidR="004D28FB" w:rsidRPr="004D28FB">
        <w:rPr>
          <w:rFonts w:ascii="Times New Roman" w:eastAsia="Times New Roman" w:hAnsi="Times New Roman" w:cs="Times New Roman"/>
          <w:color w:val="000000"/>
          <w:lang w:eastAsia="bg-BG"/>
        </w:rPr>
        <w:t xml:space="preserve">Лидл България ЕООД енд КО“ КД </w:t>
      </w:r>
      <w:r w:rsidRPr="007716DC">
        <w:rPr>
          <w:rFonts w:ascii="Times New Roman" w:eastAsia="Times New Roman" w:hAnsi="Times New Roman" w:cs="Times New Roman"/>
          <w:color w:val="000000"/>
          <w:lang w:eastAsia="bg-BG"/>
        </w:rPr>
        <w:t>има следното инвестиционно предложение: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</w:p>
    <w:p w14:paraId="6B84E346" w14:textId="0F358C30" w:rsidR="009C7CC1" w:rsidRPr="00DE7E61" w:rsidRDefault="009C7CC1" w:rsidP="009C7CC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bg-BG"/>
        </w:rPr>
      </w:pPr>
      <w:r w:rsidRPr="007716D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Монтиране и е</w:t>
      </w:r>
      <w:r w:rsidRPr="007716D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ксплоатация на мястото на продажба на автомат за обратно приемане (събиране) на отпадъци от опаковки с код 15 01 02 (пластмасови бутилки</w:t>
      </w: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 с обем </w:t>
      </w:r>
      <w:r w:rsidRPr="00DE7E61">
        <w:rPr>
          <w:rFonts w:ascii="Times New Roman" w:eastAsia="Times New Roman" w:hAnsi="Times New Roman" w:cs="Times New Roman"/>
          <w:b/>
          <w:bCs/>
          <w:color w:val="000000" w:themeColor="text1"/>
          <w:lang w:eastAsia="bg-BG"/>
        </w:rPr>
        <w:t>от  0,2 до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bg-BG"/>
        </w:rPr>
        <w:t>,0</w:t>
      </w:r>
      <w:r w:rsidRPr="00DE7E61">
        <w:rPr>
          <w:rFonts w:ascii="Times New Roman" w:eastAsia="Times New Roman" w:hAnsi="Times New Roman" w:cs="Times New Roman"/>
          <w:b/>
          <w:bCs/>
          <w:color w:val="000000" w:themeColor="text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bg-BG"/>
        </w:rPr>
        <w:t>литра</w:t>
      </w:r>
      <w:r w:rsidRPr="00DE7E61">
        <w:rPr>
          <w:rFonts w:ascii="Times New Roman" w:eastAsia="Times New Roman" w:hAnsi="Times New Roman" w:cs="Times New Roman"/>
          <w:b/>
          <w:bCs/>
          <w:color w:val="000000" w:themeColor="text1"/>
          <w:lang w:eastAsia="bg-BG"/>
        </w:rPr>
        <w:t xml:space="preserve">) и  15 01 04 (метални кенове с обем от 0,2 до 0,5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bg-BG"/>
        </w:rPr>
        <w:t>литра</w:t>
      </w:r>
      <w:r w:rsidRPr="00DE7E61">
        <w:rPr>
          <w:rFonts w:ascii="Times New Roman" w:eastAsia="Times New Roman" w:hAnsi="Times New Roman" w:cs="Times New Roman"/>
          <w:b/>
          <w:bCs/>
          <w:color w:val="000000" w:themeColor="text1"/>
          <w:lang w:eastAsia="bg-BG"/>
        </w:rPr>
        <w:t>)“.</w:t>
      </w:r>
    </w:p>
    <w:p w14:paraId="640FDBC1" w14:textId="77777777" w:rsidR="009C7CC1" w:rsidRPr="007670A4" w:rsidRDefault="009C7CC1" w:rsidP="009C7CC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2BB79923" w14:textId="77777777" w:rsidR="001575D2" w:rsidRPr="001575D2" w:rsidRDefault="001575D2" w:rsidP="009C7CC1">
      <w:pPr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z w:val="12"/>
          <w:szCs w:val="12"/>
          <w:lang w:eastAsia="bg-BG"/>
        </w:rPr>
      </w:pPr>
    </w:p>
    <w:p w14:paraId="025CE3F8" w14:textId="77777777" w:rsidR="004D28FB" w:rsidRPr="007716DC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7716DC">
        <w:rPr>
          <w:rFonts w:ascii="Times New Roman" w:eastAsia="Times New Roman" w:hAnsi="Times New Roman" w:cs="Times New Roman"/>
          <w:color w:val="000000"/>
          <w:lang w:eastAsia="bg-BG"/>
        </w:rPr>
        <w:t>Характеристика на инвестиционното предложение:</w:t>
      </w:r>
    </w:p>
    <w:p w14:paraId="40A24AD4" w14:textId="77777777" w:rsidR="004D28FB" w:rsidRPr="007716DC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7716DC">
        <w:rPr>
          <w:rFonts w:ascii="Times New Roman" w:eastAsia="Times New Roman" w:hAnsi="Times New Roman" w:cs="Times New Roman"/>
          <w:color w:val="000000"/>
          <w:lang w:eastAsia="bg-BG"/>
        </w:rPr>
        <w:t>1. Резюме на предложението:</w:t>
      </w:r>
    </w:p>
    <w:p w14:paraId="2D1D8787" w14:textId="77777777" w:rsidR="004D28FB" w:rsidRPr="008105B1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4E72B063" w14:textId="188FA546" w:rsidR="004D28FB" w:rsidRDefault="004D28FB" w:rsidP="002C442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ab/>
        <w:t>Инвестиционното предложение /ИП/ е за нова допълнителна дейност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която ще бъде извършвана на </w:t>
      </w:r>
      <w:r w:rsidR="002C4426">
        <w:rPr>
          <w:rFonts w:ascii="Times New Roman" w:eastAsia="Times New Roman" w:hAnsi="Times New Roman" w:cs="Times New Roman"/>
          <w:color w:val="000000"/>
          <w:lang w:eastAsia="bg-BG"/>
        </w:rPr>
        <w:t>п</w:t>
      </w:r>
      <w:r w:rsidRPr="00D71A6A">
        <w:rPr>
          <w:rFonts w:ascii="Times New Roman" w:eastAsia="Times New Roman" w:hAnsi="Times New Roman" w:cs="Times New Roman"/>
          <w:color w:val="000000"/>
          <w:lang w:eastAsia="bg-BG"/>
        </w:rPr>
        <w:t xml:space="preserve">лощадка с административен адрес: </w:t>
      </w:r>
      <w:r w:rsidR="00627AFF" w:rsidRPr="00627AFF">
        <w:rPr>
          <w:rFonts w:ascii="Times New Roman" w:eastAsia="Times New Roman" w:hAnsi="Times New Roman" w:cs="Times New Roman"/>
          <w:color w:val="000000"/>
          <w:lang w:eastAsia="bg-BG"/>
        </w:rPr>
        <w:t>гр. Балчик, ул. „Дунав“ №5</w:t>
      </w:r>
      <w:r w:rsidR="00627AFF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2791AC95" w14:textId="77777777" w:rsidR="004D28FB" w:rsidRPr="006E39EC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A969CB5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Заявената дейност </w:t>
      </w:r>
      <w:r w:rsidRPr="0088474C">
        <w:rPr>
          <w:rFonts w:ascii="Times New Roman" w:eastAsia="Times New Roman" w:hAnsi="Times New Roman" w:cs="Times New Roman"/>
          <w:color w:val="000000"/>
          <w:lang w:eastAsia="bg-BG"/>
        </w:rPr>
        <w:t xml:space="preserve">попада в обхвата на дефиницията за „Събиране“ съгласно т.41 от §1 към ДР на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Закона за управление на отпадъците /ЗУО/.</w:t>
      </w:r>
      <w:r w:rsidRPr="0088474C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</w:p>
    <w:p w14:paraId="1F0697A9" w14:textId="7D60EF54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Д</w:t>
      </w:r>
      <w:r w:rsidRPr="0088474C">
        <w:rPr>
          <w:rFonts w:ascii="Times New Roman" w:eastAsia="Times New Roman" w:hAnsi="Times New Roman" w:cs="Times New Roman"/>
          <w:color w:val="000000"/>
          <w:lang w:eastAsia="bg-BG"/>
        </w:rPr>
        <w:t xml:space="preserve">ейността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по </w:t>
      </w:r>
      <w:r w:rsidRPr="0088474C">
        <w:rPr>
          <w:rFonts w:ascii="Times New Roman" w:eastAsia="Times New Roman" w:hAnsi="Times New Roman" w:cs="Times New Roman"/>
          <w:color w:val="000000"/>
          <w:lang w:eastAsia="bg-BG"/>
        </w:rPr>
        <w:t xml:space="preserve">„Събиране“ не попада в обхвата на Приложение № 1 към чл.92, т.1 и Приложение №2 към чл.93, ал.1, т.1 и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т.</w:t>
      </w:r>
      <w:r w:rsidRPr="0088474C">
        <w:rPr>
          <w:rFonts w:ascii="Times New Roman" w:eastAsia="Times New Roman" w:hAnsi="Times New Roman" w:cs="Times New Roman"/>
          <w:color w:val="000000"/>
          <w:lang w:eastAsia="bg-BG"/>
        </w:rPr>
        <w:t>2 от З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акона за опазване на околната среда /ЗООС/.</w:t>
      </w:r>
    </w:p>
    <w:p w14:paraId="0ACA5C29" w14:textId="77777777" w:rsidR="002C4426" w:rsidRDefault="002C4426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AF4E1F2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bg-BG"/>
        </w:rPr>
      </w:pPr>
      <w:r w:rsidRPr="0088474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5982F1DA" w14:textId="77777777" w:rsidR="004D28FB" w:rsidRPr="008105B1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8105B1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0F852D50" w14:textId="77777777" w:rsidR="004D28FB" w:rsidRPr="004525C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032805DF" w14:textId="1BB2DC40" w:rsidR="004D28FB" w:rsidRDefault="002C4426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Автоматът </w:t>
      </w:r>
      <w:r w:rsidR="004D28FB">
        <w:rPr>
          <w:rFonts w:ascii="Times New Roman" w:eastAsia="Times New Roman" w:hAnsi="Times New Roman" w:cs="Times New Roman"/>
          <w:color w:val="000000" w:themeColor="text1"/>
          <w:lang w:eastAsia="bg-BG"/>
        </w:rPr>
        <w:t>а</w:t>
      </w:r>
      <w:r w:rsidR="004D28FB" w:rsidRPr="00607FD0">
        <w:rPr>
          <w:rFonts w:ascii="Times New Roman" w:eastAsia="Times New Roman" w:hAnsi="Times New Roman" w:cs="Times New Roman"/>
          <w:color w:val="000000" w:themeColor="text1"/>
          <w:lang w:eastAsia="bg-BG"/>
        </w:rPr>
        <w:t>втома</w:t>
      </w:r>
      <w:r w:rsidR="004D28FB">
        <w:rPr>
          <w:rFonts w:ascii="Times New Roman" w:eastAsia="Times New Roman" w:hAnsi="Times New Roman" w:cs="Times New Roman"/>
          <w:color w:val="000000" w:themeColor="text1"/>
          <w:lang w:eastAsia="bg-BG"/>
        </w:rPr>
        <w:t>т</w:t>
      </w:r>
      <w:r w:rsidR="004D28FB" w:rsidRPr="00607FD0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ще бъде разположен</w:t>
      </w:r>
      <w:r w:rsidR="004D28FB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</w:t>
      </w:r>
      <w:r w:rsidR="004D28FB" w:rsidRPr="00607FD0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в обособена зона </w:t>
      </w:r>
      <w:r w:rsidR="004D28FB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с площ от около </w:t>
      </w:r>
      <w:r w:rsidR="00627AFF">
        <w:rPr>
          <w:rFonts w:ascii="Times New Roman" w:eastAsia="Times New Roman" w:hAnsi="Times New Roman" w:cs="Times New Roman"/>
          <w:color w:val="000000" w:themeColor="text1"/>
          <w:lang w:eastAsia="bg-BG"/>
        </w:rPr>
        <w:t>58</w:t>
      </w:r>
      <w:r w:rsidR="004D28FB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кв.м. </w:t>
      </w:r>
      <w:r w:rsidR="004D28FB" w:rsidRPr="00607FD0">
        <w:rPr>
          <w:rFonts w:ascii="Times New Roman" w:eastAsia="Times New Roman" w:hAnsi="Times New Roman" w:cs="Times New Roman"/>
          <w:color w:val="000000" w:themeColor="text1"/>
          <w:lang w:eastAsia="bg-BG"/>
        </w:rPr>
        <w:t>в</w:t>
      </w:r>
      <w:r w:rsidR="004D28FB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сграда  (</w:t>
      </w:r>
      <w:r w:rsidR="004D28FB" w:rsidRPr="00607FD0">
        <w:rPr>
          <w:rFonts w:ascii="Times New Roman" w:eastAsia="Times New Roman" w:hAnsi="Times New Roman" w:cs="Times New Roman"/>
          <w:color w:val="000000" w:themeColor="text1"/>
          <w:lang w:eastAsia="bg-BG"/>
        </w:rPr>
        <w:t>търговски обект</w:t>
      </w:r>
      <w:r w:rsidR="004D28FB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), </w:t>
      </w:r>
      <w:r w:rsidR="004D28FB" w:rsidRPr="00607FD0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като с декоративни </w:t>
      </w:r>
      <w:r w:rsidR="004D28FB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пана/панели </w:t>
      </w:r>
      <w:r w:rsidR="004D28FB" w:rsidRPr="00607FD0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ще бъде обособено самостоятелно помещение.</w:t>
      </w:r>
    </w:p>
    <w:p w14:paraId="3175EB25" w14:textId="77777777" w:rsidR="004D28FB" w:rsidRPr="004A498F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bg-BG"/>
        </w:rPr>
      </w:pPr>
    </w:p>
    <w:p w14:paraId="13CAA797" w14:textId="7E9EC314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ab/>
        <w:t xml:space="preserve">За реализация на заявеното ИП наличната техническа и сградна инфраструктура и </w:t>
      </w:r>
      <w:r w:rsidR="002C4426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площадк</w:t>
      </w:r>
      <w:r w:rsidR="002C4426">
        <w:rPr>
          <w:rFonts w:ascii="Times New Roman" w:eastAsia="Times New Roman" w:hAnsi="Times New Roman" w:cs="Times New Roman"/>
          <w:color w:val="000000" w:themeColor="text1"/>
          <w:lang w:eastAsia="bg-BG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е подходяща и не е необходимо извършване на строителни дейности (с</w:t>
      </w:r>
      <w:r w:rsidRPr="004518C7">
        <w:rPr>
          <w:rFonts w:ascii="Times New Roman" w:eastAsia="Times New Roman" w:hAnsi="Times New Roman" w:cs="Times New Roman"/>
          <w:color w:val="000000" w:themeColor="text1"/>
          <w:lang w:eastAsia="bg-BG"/>
        </w:rPr>
        <w:t>троителн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и и</w:t>
      </w:r>
      <w:r w:rsidRPr="004518C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монтажни работи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/СМР/) по смисъла на т.40 от §5 към ДР на Закона за устройство на територията /ЗУТ/.</w:t>
      </w:r>
    </w:p>
    <w:p w14:paraId="608BF85C" w14:textId="77777777" w:rsidR="004D28FB" w:rsidRPr="00AB66BF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74C3DD93" w14:textId="26EFED2E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ab/>
        <w:t xml:space="preserve">За осъществяване на заявеното ИП </w:t>
      </w:r>
      <w:r w:rsidR="002C4426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площадк</w:t>
      </w:r>
      <w:r w:rsidR="002C4426">
        <w:rPr>
          <w:rFonts w:ascii="Times New Roman" w:eastAsia="Times New Roman" w:hAnsi="Times New Roman" w:cs="Times New Roman"/>
          <w:color w:val="000000" w:themeColor="text1"/>
          <w:lang w:eastAsia="bg-BG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не се налагат допълнително преустройство и/или промяна на предназначение на сградата по смисъла на ЗУТ.</w:t>
      </w:r>
    </w:p>
    <w:p w14:paraId="19184FC8" w14:textId="77777777" w:rsidR="004D28FB" w:rsidRPr="00922274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bg-BG"/>
        </w:rPr>
      </w:pPr>
    </w:p>
    <w:p w14:paraId="54B97D67" w14:textId="7A477409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ab/>
        <w:t xml:space="preserve">За осъществяване на ИП </w:t>
      </w:r>
      <w:r w:rsidR="002C4426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на площадката,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няма да се правят изкопи или ползване на взрив.</w:t>
      </w:r>
    </w:p>
    <w:p w14:paraId="6B0CB8C6" w14:textId="77777777" w:rsidR="004D28FB" w:rsidRPr="005C7002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ab/>
      </w:r>
    </w:p>
    <w:p w14:paraId="62197465" w14:textId="77777777" w:rsidR="004D28FB" w:rsidRPr="004525CA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При проведени тестове в реални условия </w:t>
      </w:r>
      <w:r w:rsidRPr="008D5B2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за предаване на 1 брой отпадък опаковка и издаване на системен бон е необходимо време от около 10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секунди</w:t>
      </w:r>
      <w:r w:rsidRPr="004525CA">
        <w:rPr>
          <w:rFonts w:ascii="Times New Roman" w:eastAsia="Times New Roman" w:hAnsi="Times New Roman" w:cs="Times New Roman"/>
          <w:color w:val="000000" w:themeColor="text1"/>
          <w:lang w:eastAsia="bg-BG"/>
        </w:rPr>
        <w:t>.</w:t>
      </w:r>
    </w:p>
    <w:p w14:paraId="05933943" w14:textId="77777777" w:rsidR="004D28FB" w:rsidRPr="00D5126D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Предвид, че автоматът работи с много по-висока скорост на обработка, отколкото е възможно човек да подаде в отвора отпадък от опаковка, се счита, че времето за предаване на 1 брой опаковка е 10 секунди.</w:t>
      </w:r>
    </w:p>
    <w:p w14:paraId="7C086866" w14:textId="77777777" w:rsidR="004D28FB" w:rsidRPr="00A4638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FF0000"/>
          <w:sz w:val="12"/>
          <w:szCs w:val="12"/>
          <w:lang w:eastAsia="bg-BG"/>
        </w:rPr>
      </w:pPr>
    </w:p>
    <w:p w14:paraId="6999FF92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П</w:t>
      </w:r>
      <w:r w:rsidRPr="00C52091">
        <w:rPr>
          <w:rFonts w:ascii="Times New Roman" w:eastAsia="Times New Roman" w:hAnsi="Times New Roman" w:cs="Times New Roman"/>
          <w:color w:val="000000" w:themeColor="text1"/>
          <w:lang w:eastAsia="bg-BG"/>
        </w:rPr>
        <w:t>риеманите отпадъци от опаковки са с различно тегло, но времето за обработка от автомата е едно и също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.</w:t>
      </w:r>
    </w:p>
    <w:p w14:paraId="53EE813E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С относителна достоверност може да се изчисли възможното за събиране количество отпадъци, като се приеме условно, че:</w:t>
      </w:r>
    </w:p>
    <w:p w14:paraId="7FE1155D" w14:textId="77777777" w:rsidR="004D28FB" w:rsidRDefault="004D28FB" w:rsidP="004D28FB">
      <w:pPr>
        <w:pStyle w:val="a5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бутилка </w:t>
      </w:r>
      <w:r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>PET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от 2,0 литра тежи с капачката около 43 грама (най-разпространената </w:t>
      </w:r>
    </w:p>
    <w:p w14:paraId="78FD9BED" w14:textId="77777777" w:rsidR="004D28FB" w:rsidRPr="00FC6AA5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FC6AA5">
        <w:rPr>
          <w:rFonts w:ascii="Times New Roman" w:eastAsia="Times New Roman" w:hAnsi="Times New Roman" w:cs="Times New Roman"/>
          <w:color w:val="000000" w:themeColor="text1"/>
          <w:lang w:eastAsia="bg-BG"/>
        </w:rPr>
        <w:t>опаковка)</w:t>
      </w:r>
    </w:p>
    <w:p w14:paraId="3453B8C7" w14:textId="77777777" w:rsidR="004D28FB" w:rsidRPr="00FC6AA5" w:rsidRDefault="004D28FB" w:rsidP="004D28FB">
      <w:pPr>
        <w:pStyle w:val="a5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proofErr w:type="spellStart"/>
      <w:r w:rsidRPr="00FC6AA5">
        <w:rPr>
          <w:rFonts w:ascii="Times New Roman" w:eastAsia="Times New Roman" w:hAnsi="Times New Roman" w:cs="Times New Roman"/>
          <w:color w:val="000000" w:themeColor="text1"/>
          <w:lang w:eastAsia="bg-BG"/>
        </w:rPr>
        <w:t>кен</w:t>
      </w:r>
      <w:proofErr w:type="spellEnd"/>
      <w:r w:rsidRPr="00FC6AA5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</w:t>
      </w:r>
      <w:r w:rsidRPr="00FC6AA5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>Al</w:t>
      </w:r>
      <w:r w:rsidRPr="004525C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</w:t>
      </w:r>
      <w:r w:rsidRPr="00FC6AA5">
        <w:rPr>
          <w:rFonts w:ascii="Times New Roman" w:eastAsia="Times New Roman" w:hAnsi="Times New Roman" w:cs="Times New Roman"/>
          <w:color w:val="000000" w:themeColor="text1"/>
          <w:lang w:eastAsia="bg-BG"/>
        </w:rPr>
        <w:t>от 0,5 литра тежи около 20 грама (най-разпространената опаковка)</w:t>
      </w:r>
    </w:p>
    <w:p w14:paraId="0AE47081" w14:textId="77777777" w:rsidR="004D28FB" w:rsidRPr="004B29D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bg-BG"/>
        </w:rPr>
      </w:pPr>
    </w:p>
    <w:p w14:paraId="78BCBFE7" w14:textId="77777777" w:rsidR="004D28FB" w:rsidRPr="00AB66BF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AB66BF">
        <w:rPr>
          <w:rFonts w:ascii="Times New Roman" w:eastAsia="Times New Roman" w:hAnsi="Times New Roman" w:cs="Times New Roman"/>
          <w:color w:val="000000" w:themeColor="text1"/>
          <w:lang w:eastAsia="bg-BG"/>
        </w:rPr>
        <w:t>Изчислен капацитет за събиране:</w:t>
      </w:r>
    </w:p>
    <w:p w14:paraId="7C1B0636" w14:textId="77777777" w:rsidR="004D28FB" w:rsidRDefault="004D28FB" w:rsidP="004D28FB">
      <w:pPr>
        <w:pStyle w:val="a5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D5126D">
        <w:rPr>
          <w:rFonts w:ascii="Times New Roman" w:eastAsia="Times New Roman" w:hAnsi="Times New Roman" w:cs="Times New Roman"/>
          <w:color w:val="000000" w:themeColor="text1"/>
          <w:lang w:eastAsia="bg-BG"/>
        </w:rPr>
        <w:t>на час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:</w:t>
      </w:r>
    </w:p>
    <w:p w14:paraId="33CA4B37" w14:textId="77777777" w:rsidR="004D28FB" w:rsidRPr="00F63ABA" w:rsidRDefault="004D28FB" w:rsidP="004D28FB">
      <w:pPr>
        <w:pStyle w:val="a5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F63AB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за бутилки </w:t>
      </w:r>
      <w:r w:rsidRPr="00F63ABA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 PET – </w:t>
      </w:r>
      <w:r w:rsidRPr="00F63AB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0,043*6*60 = 15,48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кг/час</w:t>
      </w:r>
    </w:p>
    <w:p w14:paraId="72B451B9" w14:textId="77777777" w:rsidR="004D28FB" w:rsidRPr="00F63ABA" w:rsidRDefault="004D28FB" w:rsidP="004D28FB">
      <w:pPr>
        <w:pStyle w:val="a5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F63AB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за кенове от </w:t>
      </w:r>
      <w:r w:rsidRPr="00F63ABA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>Al</w:t>
      </w:r>
      <w:r w:rsidRPr="004525C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–</w:t>
      </w:r>
      <w:r w:rsidRPr="00F63AB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0,02*6*60 = 7,2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кг/час</w:t>
      </w:r>
    </w:p>
    <w:p w14:paraId="0AB010C2" w14:textId="77777777" w:rsidR="004D28FB" w:rsidRDefault="004D28FB" w:rsidP="004D28FB">
      <w:pPr>
        <w:pStyle w:val="a5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bookmarkStart w:id="0" w:name="_Hlk107231704"/>
      <w:r w:rsidRPr="00C52091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на ден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(при 14 часова работа, като общото време е разделено по равно за двата вида </w:t>
      </w:r>
    </w:p>
    <w:p w14:paraId="1F7FA158" w14:textId="77777777" w:rsidR="004D28FB" w:rsidRPr="00D50707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FF0000"/>
          <w:lang w:eastAsia="bg-BG"/>
        </w:rPr>
      </w:pPr>
      <w:r w:rsidRPr="00D50707">
        <w:rPr>
          <w:rFonts w:ascii="Times New Roman" w:eastAsia="Times New Roman" w:hAnsi="Times New Roman" w:cs="Times New Roman"/>
          <w:color w:val="000000" w:themeColor="text1"/>
          <w:lang w:eastAsia="bg-BG"/>
        </w:rPr>
        <w:t>опаковка)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:</w:t>
      </w:r>
    </w:p>
    <w:bookmarkEnd w:id="0"/>
    <w:p w14:paraId="7E5D6FA7" w14:textId="77777777" w:rsidR="004D28FB" w:rsidRPr="005A3196" w:rsidRDefault="004D28FB" w:rsidP="004D28FB">
      <w:pPr>
        <w:pStyle w:val="a5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5A3196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за бутилки </w:t>
      </w:r>
      <w:r w:rsidRPr="005A3196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 PET – </w:t>
      </w:r>
      <w:r w:rsidRPr="005A3196">
        <w:rPr>
          <w:rFonts w:ascii="Times New Roman" w:eastAsia="Times New Roman" w:hAnsi="Times New Roman" w:cs="Times New Roman"/>
          <w:color w:val="000000" w:themeColor="text1"/>
          <w:lang w:eastAsia="bg-BG"/>
        </w:rPr>
        <w:t>15,48*7 = 108,36 кг/ден</w:t>
      </w:r>
    </w:p>
    <w:p w14:paraId="61914CD5" w14:textId="77777777" w:rsidR="004D28FB" w:rsidRPr="00F63ABA" w:rsidRDefault="004D28FB" w:rsidP="004D28FB">
      <w:pPr>
        <w:pStyle w:val="a5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F63AB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за кенове от </w:t>
      </w:r>
      <w:r w:rsidRPr="00F63ABA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>Al</w:t>
      </w:r>
      <w:r w:rsidRPr="004525C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–</w:t>
      </w:r>
      <w:r w:rsidRPr="00F63AB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7,2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*7 = 50,4 кг/ден</w:t>
      </w:r>
    </w:p>
    <w:p w14:paraId="1E3D6843" w14:textId="77777777" w:rsidR="004D28FB" w:rsidRDefault="004D28FB" w:rsidP="004D28FB">
      <w:pPr>
        <w:pStyle w:val="a5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5A3196">
        <w:rPr>
          <w:rFonts w:ascii="Times New Roman" w:eastAsia="Times New Roman" w:hAnsi="Times New Roman" w:cs="Times New Roman"/>
          <w:color w:val="000000" w:themeColor="text1"/>
          <w:lang w:eastAsia="bg-BG"/>
        </w:rPr>
        <w:t>за една година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:</w:t>
      </w:r>
    </w:p>
    <w:p w14:paraId="34D5A6DC" w14:textId="77777777" w:rsidR="004D28FB" w:rsidRPr="00822A82" w:rsidRDefault="004D28FB" w:rsidP="004D28F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822A82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за бутилки </w:t>
      </w:r>
      <w:r w:rsidRPr="00822A82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 PET – </w:t>
      </w:r>
      <w:r w:rsidRPr="00822A82">
        <w:rPr>
          <w:rFonts w:ascii="Times New Roman" w:eastAsia="Times New Roman" w:hAnsi="Times New Roman" w:cs="Times New Roman"/>
          <w:color w:val="000000" w:themeColor="text1"/>
          <w:lang w:eastAsia="bg-BG"/>
        </w:rPr>
        <w:t>108,36*365 = 39 551 кг/год.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,</w:t>
      </w:r>
      <w:r w:rsidRPr="00822A82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или около 40 т/год.</w:t>
      </w:r>
    </w:p>
    <w:p w14:paraId="036F1B92" w14:textId="77777777" w:rsidR="004D28FB" w:rsidRDefault="004D28FB" w:rsidP="004D28FB">
      <w:pPr>
        <w:pStyle w:val="a5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F63AB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за кенове от </w:t>
      </w:r>
      <w:r w:rsidRPr="00F63ABA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>Al</w:t>
      </w:r>
      <w:r w:rsidRPr="004525C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–</w:t>
      </w:r>
      <w:r w:rsidRPr="00F63AB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50,4*365 = 18 396 кг/год., или около 19 т/год.</w:t>
      </w:r>
    </w:p>
    <w:p w14:paraId="588154C1" w14:textId="77777777" w:rsidR="004D28FB" w:rsidRPr="00AB66BF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749D4A19" w14:textId="77777777" w:rsidR="004D28FB" w:rsidRDefault="004D28FB" w:rsidP="004D28FB">
      <w:pPr>
        <w:spacing w:after="0" w:line="24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Тъй като не е възможно да се предвиди поведението на лицата предаващи отпадъци от опаковки, относно вид и количества, които ще пожелаят да предадат за събиране, дружеството декларира следният капацитет за събиране:</w:t>
      </w:r>
    </w:p>
    <w:p w14:paraId="5130A70E" w14:textId="77777777" w:rsidR="004D28FB" w:rsidRPr="004A498F" w:rsidRDefault="004D28FB" w:rsidP="004D28FB">
      <w:pPr>
        <w:spacing w:after="0" w:line="24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bg-BG"/>
        </w:rPr>
      </w:pPr>
    </w:p>
    <w:p w14:paraId="5285953C" w14:textId="6EDED0E3" w:rsidR="004D28FB" w:rsidRPr="00975735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bg-BG"/>
        </w:rPr>
      </w:pPr>
      <w:r w:rsidRPr="00975735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bg-BG"/>
        </w:rPr>
        <w:t>ГОДИШЕН КАПАЦИТЕТ ЗА СЪБИРАНЕ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bg-BG"/>
        </w:rPr>
        <w:t xml:space="preserve"> на Площадка</w:t>
      </w:r>
      <w:r w:rsidR="002C4426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bg-BG"/>
        </w:rPr>
        <w:t>та</w:t>
      </w:r>
      <w:r w:rsidRPr="00975735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bg-BG"/>
        </w:rPr>
        <w:t xml:space="preserve"> </w:t>
      </w:r>
    </w:p>
    <w:p w14:paraId="69BAEDC5" w14:textId="77777777" w:rsidR="004D28FB" w:rsidRPr="00811165" w:rsidRDefault="004D28FB" w:rsidP="004D28FB">
      <w:pPr>
        <w:pStyle w:val="a5"/>
        <w:numPr>
          <w:ilvl w:val="0"/>
          <w:numId w:val="2"/>
        </w:numPr>
        <w:spacing w:after="0" w:line="240" w:lineRule="auto"/>
        <w:jc w:val="both"/>
        <w:textAlignment w:val="center"/>
        <w:rPr>
          <w:rFonts w:eastAsia="Times New Roman" w:cstheme="minorHAnsi"/>
          <w:b/>
          <w:bCs/>
          <w:color w:val="000000"/>
          <w:lang w:eastAsia="bg-BG"/>
        </w:rPr>
      </w:pPr>
      <w:r w:rsidRPr="00975735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15 01 02 – </w:t>
      </w: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5</w:t>
      </w:r>
      <w:r w:rsidRPr="00975735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0  т/год.</w:t>
      </w:r>
    </w:p>
    <w:p w14:paraId="434089A4" w14:textId="77777777" w:rsidR="004D28FB" w:rsidRDefault="004D28FB" w:rsidP="004D28FB">
      <w:pPr>
        <w:pStyle w:val="a5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975735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15 01 04 – 20 т/год.</w:t>
      </w:r>
    </w:p>
    <w:p w14:paraId="1DED21B6" w14:textId="77777777" w:rsidR="004D28FB" w:rsidRPr="0066593B" w:rsidRDefault="004D28FB" w:rsidP="004D28FB">
      <w:pPr>
        <w:pStyle w:val="a5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bg-BG"/>
        </w:rPr>
      </w:pPr>
    </w:p>
    <w:p w14:paraId="219FEDEE" w14:textId="77777777" w:rsidR="004D28FB" w:rsidRDefault="004D28FB" w:rsidP="004D28FB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7442D5">
        <w:rPr>
          <w:rFonts w:ascii="Times New Roman" w:eastAsia="Times New Roman" w:hAnsi="Times New Roman" w:cs="Times New Roman"/>
          <w:color w:val="000000"/>
          <w:lang w:eastAsia="bg-BG"/>
        </w:rPr>
        <w:t>Автомат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ите ще бъдат програмирани </w:t>
      </w:r>
      <w:r w:rsidRPr="007442D5">
        <w:rPr>
          <w:rFonts w:ascii="Times New Roman" w:eastAsia="Times New Roman" w:hAnsi="Times New Roman" w:cs="Times New Roman"/>
          <w:color w:val="000000"/>
          <w:lang w:eastAsia="bg-BG"/>
        </w:rPr>
        <w:t>да приема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т:</w:t>
      </w:r>
    </w:p>
    <w:p w14:paraId="0F778241" w14:textId="77777777" w:rsidR="004D28FB" w:rsidRPr="00DD680E" w:rsidRDefault="004D28FB" w:rsidP="004D28FB">
      <w:pPr>
        <w:pStyle w:val="a5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отпадъци от пластмасови  опаковки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–</w:t>
      </w: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</w:t>
      </w:r>
      <w:r w:rsidRPr="00DD680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бутилки от материал </w:t>
      </w:r>
      <w:r w:rsidRPr="00DD680E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>PET</w:t>
      </w:r>
      <w:r w:rsidRPr="00DD680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(полиетилен </w:t>
      </w:r>
    </w:p>
    <w:p w14:paraId="76CCB354" w14:textId="77777777" w:rsidR="004D28FB" w:rsidRPr="00220108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тарафталат) с обем </w:t>
      </w:r>
      <w:r w:rsidRPr="004525CA">
        <w:rPr>
          <w:rFonts w:ascii="Times New Roman" w:eastAsia="Times New Roman" w:hAnsi="Times New Roman" w:cs="Times New Roman"/>
          <w:color w:val="000000" w:themeColor="text1"/>
          <w:lang w:eastAsia="bg-BG"/>
        </w:rPr>
        <w:t>0,</w:t>
      </w: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>2</w:t>
      </w:r>
      <w:r w:rsidRPr="004525C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</w:t>
      </w: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>до</w:t>
      </w:r>
      <w:r w:rsidRPr="004525CA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3,0 </w:t>
      </w: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>литра. Бутилките ще са от следните групи продукти: вода, безалкохолни напитки и бира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;</w:t>
      </w:r>
    </w:p>
    <w:p w14:paraId="260894CE" w14:textId="77777777" w:rsidR="004D28FB" w:rsidRPr="00220108" w:rsidRDefault="004D28FB" w:rsidP="004D28FB">
      <w:pPr>
        <w:pStyle w:val="a5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отпадъци от метални опаковки – кенове от материал </w:t>
      </w:r>
      <w:proofErr w:type="spellStart"/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>Fe</w:t>
      </w:r>
      <w:proofErr w:type="spellEnd"/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(желязо) и </w:t>
      </w:r>
      <w:proofErr w:type="spellStart"/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>Al</w:t>
      </w:r>
      <w:proofErr w:type="spellEnd"/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(алуминий) с обем </w:t>
      </w:r>
    </w:p>
    <w:p w14:paraId="32415CE8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от 0,2 до 0,5 литра. </w:t>
      </w:r>
      <w:proofErr w:type="spellStart"/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>Кеновете</w:t>
      </w:r>
      <w:proofErr w:type="spellEnd"/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ще са от следните групи продукти: вода, безалкохолни и енергийни напитки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,</w:t>
      </w:r>
      <w:r w:rsidRPr="0022010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и бира.</w:t>
      </w:r>
    </w:p>
    <w:p w14:paraId="1096015B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ab/>
        <w:t>След подаване на опаковката в приемателния отвор на автомата, той определя дали отпадъкът от опаковка е подходящ за приемане (пр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имер:</w:t>
      </w:r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 xml:space="preserve"> дали попада в гореописаните категории, дали бутилката/</w:t>
      </w:r>
      <w:proofErr w:type="spellStart"/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>кенът</w:t>
      </w:r>
      <w:proofErr w:type="spellEnd"/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 xml:space="preserve"> не съдържа течност, дали бутилката/</w:t>
      </w:r>
      <w:proofErr w:type="spellStart"/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>кенът</w:t>
      </w:r>
      <w:proofErr w:type="spellEnd"/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 xml:space="preserve"> не е много деформиран и т.н.). Ако отчете, че опаковката не е подходяща, автоматът връща опаковката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65BEC810" w14:textId="77777777" w:rsidR="004D28FB" w:rsidRPr="00B81768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ab/>
      </w:r>
    </w:p>
    <w:p w14:paraId="1D504255" w14:textId="77777777" w:rsidR="001F6CF9" w:rsidRDefault="001F6CF9" w:rsidP="001F6CF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FF0C76">
        <w:rPr>
          <w:rFonts w:ascii="Times New Roman" w:eastAsia="Times New Roman" w:hAnsi="Times New Roman" w:cs="Times New Roman"/>
          <w:color w:val="000000"/>
          <w:lang w:eastAsia="bg-BG"/>
        </w:rPr>
        <w:t>В случай че автоматът отчете, че опаковката е подходяща за прием, с цел процедури за осигуряване безопасност на живота и здравето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,</w:t>
      </w:r>
      <w:r w:rsidRPr="00FF0C76">
        <w:rPr>
          <w:rFonts w:ascii="Times New Roman" w:eastAsia="Times New Roman" w:hAnsi="Times New Roman" w:cs="Times New Roman"/>
          <w:color w:val="000000"/>
          <w:lang w:eastAsia="bg-BG"/>
        </w:rPr>
        <w:t xml:space="preserve"> автоматът пристъпва към тест като притиска силно бутилката или </w:t>
      </w:r>
      <w:proofErr w:type="spellStart"/>
      <w:r w:rsidRPr="00FF0C76">
        <w:rPr>
          <w:rFonts w:ascii="Times New Roman" w:eastAsia="Times New Roman" w:hAnsi="Times New Roman" w:cs="Times New Roman"/>
          <w:color w:val="000000"/>
          <w:lang w:eastAsia="bg-BG"/>
        </w:rPr>
        <w:t>кен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ът</w:t>
      </w:r>
      <w:proofErr w:type="spellEnd"/>
      <w:r w:rsidRPr="00FF0C76">
        <w:rPr>
          <w:rFonts w:ascii="Times New Roman" w:eastAsia="Times New Roman" w:hAnsi="Times New Roman" w:cs="Times New Roman"/>
          <w:color w:val="000000"/>
          <w:lang w:eastAsia="bg-BG"/>
        </w:rPr>
        <w:t>. След това отпадъкът се сортира спрямо цвят и вид на опаковката и се разпределя в съответен чувал (</w:t>
      </w:r>
      <w:proofErr w:type="spellStart"/>
      <w:r w:rsidRPr="00FF0C76">
        <w:rPr>
          <w:rFonts w:ascii="Times New Roman" w:eastAsia="Times New Roman" w:hAnsi="Times New Roman" w:cs="Times New Roman"/>
          <w:color w:val="000000"/>
          <w:lang w:eastAsia="bg-BG"/>
        </w:rPr>
        <w:t>биг-бег</w:t>
      </w:r>
      <w:proofErr w:type="spellEnd"/>
      <w:r w:rsidRPr="00FF0C76">
        <w:rPr>
          <w:rFonts w:ascii="Times New Roman" w:eastAsia="Times New Roman" w:hAnsi="Times New Roman" w:cs="Times New Roman"/>
          <w:color w:val="000000"/>
          <w:lang w:eastAsia="bg-BG"/>
        </w:rPr>
        <w:t>).  Чувалите са поставени в контейнерни отделения на автомата за различните фракции</w:t>
      </w:r>
    </w:p>
    <w:p w14:paraId="643AF5A3" w14:textId="77777777" w:rsidR="001F6CF9" w:rsidRPr="001F6CF9" w:rsidRDefault="001F6CF9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3CC29CD6" w14:textId="30EBE19C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>В случай, че автоматът отчете, че бутилката/</w:t>
      </w:r>
      <w:proofErr w:type="spellStart"/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>кен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ът</w:t>
      </w:r>
      <w:proofErr w:type="spellEnd"/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 xml:space="preserve"> не са празни, той връща опаковката, като неподходяща за прием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на лицето, което я е подало в автомата</w:t>
      </w:r>
      <w:r w:rsidRPr="00524818">
        <w:rPr>
          <w:rFonts w:ascii="Times New Roman" w:eastAsia="Times New Roman" w:hAnsi="Times New Roman" w:cs="Times New Roman"/>
          <w:color w:val="000000"/>
          <w:lang w:eastAsia="bg-BG"/>
        </w:rPr>
        <w:t xml:space="preserve">. </w:t>
      </w:r>
    </w:p>
    <w:p w14:paraId="110783A7" w14:textId="77777777" w:rsidR="004D28FB" w:rsidRPr="00BF32C5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68526333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Събраните </w:t>
      </w:r>
      <w:r w:rsidRPr="007442D5">
        <w:rPr>
          <w:rFonts w:ascii="Times New Roman" w:eastAsia="Times New Roman" w:hAnsi="Times New Roman" w:cs="Times New Roman"/>
          <w:color w:val="000000"/>
          <w:lang w:eastAsia="bg-BG"/>
        </w:rPr>
        <w:t xml:space="preserve">отпадъци от опаковки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ще </w:t>
      </w:r>
      <w:r w:rsidRPr="007442D5">
        <w:rPr>
          <w:rFonts w:ascii="Times New Roman" w:eastAsia="Times New Roman" w:hAnsi="Times New Roman" w:cs="Times New Roman"/>
          <w:color w:val="000000"/>
          <w:lang w:eastAsia="bg-BG"/>
        </w:rPr>
        <w:t>се изпращат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(транспортират)</w:t>
      </w:r>
      <w:r w:rsidRPr="007442D5">
        <w:rPr>
          <w:rFonts w:ascii="Times New Roman" w:eastAsia="Times New Roman" w:hAnsi="Times New Roman" w:cs="Times New Roman"/>
          <w:color w:val="000000"/>
          <w:lang w:eastAsia="bg-BG"/>
        </w:rPr>
        <w:t xml:space="preserve"> към логистични центрове на дружеството, за които има издаден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и</w:t>
      </w:r>
      <w:r w:rsidRPr="007442D5">
        <w:rPr>
          <w:rFonts w:ascii="Times New Roman" w:eastAsia="Times New Roman" w:hAnsi="Times New Roman" w:cs="Times New Roman"/>
          <w:color w:val="000000"/>
          <w:lang w:eastAsia="bg-BG"/>
        </w:rPr>
        <w:t xml:space="preserve"> валид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ни</w:t>
      </w:r>
      <w:r w:rsidRPr="007442D5">
        <w:rPr>
          <w:rFonts w:ascii="Times New Roman" w:eastAsia="Times New Roman" w:hAnsi="Times New Roman" w:cs="Times New Roman"/>
          <w:color w:val="000000"/>
          <w:lang w:eastAsia="bg-BG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и</w:t>
      </w:r>
      <w:r w:rsidRPr="007442D5">
        <w:rPr>
          <w:rFonts w:ascii="Times New Roman" w:eastAsia="Times New Roman" w:hAnsi="Times New Roman" w:cs="Times New Roman"/>
          <w:color w:val="000000"/>
          <w:lang w:eastAsia="bg-BG"/>
        </w:rPr>
        <w:t xml:space="preserve"> по чл.35 от ЗУО за третиране  отпадъци от опаковки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(с код </w:t>
      </w:r>
      <w:r w:rsidRPr="00601473">
        <w:rPr>
          <w:rFonts w:ascii="Times New Roman" w:eastAsia="Times New Roman" w:hAnsi="Times New Roman" w:cs="Times New Roman"/>
          <w:color w:val="000000"/>
          <w:lang w:eastAsia="bg-BG"/>
        </w:rPr>
        <w:t>R</w:t>
      </w:r>
      <w:r w:rsidRPr="00AC0EC6">
        <w:rPr>
          <w:rFonts w:ascii="Times New Roman" w:eastAsia="Times New Roman" w:hAnsi="Times New Roman" w:cs="Times New Roman"/>
          <w:color w:val="000000"/>
          <w:lang w:eastAsia="bg-BG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и </w:t>
      </w:r>
      <w:r w:rsidRPr="00601473">
        <w:rPr>
          <w:rFonts w:ascii="Times New Roman" w:eastAsia="Times New Roman" w:hAnsi="Times New Roman" w:cs="Times New Roman"/>
          <w:color w:val="000000"/>
          <w:lang w:eastAsia="bg-BG"/>
        </w:rPr>
        <w:t>R</w:t>
      </w:r>
      <w:r w:rsidRPr="00AC0EC6">
        <w:rPr>
          <w:rFonts w:ascii="Times New Roman" w:eastAsia="Times New Roman" w:hAnsi="Times New Roman" w:cs="Times New Roman"/>
          <w:color w:val="000000"/>
          <w:lang w:eastAsia="bg-BG"/>
        </w:rPr>
        <w:t>13)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3BB48AF2" w14:textId="77777777" w:rsidR="004D28FB" w:rsidRPr="00BF32C5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8434394" w14:textId="77777777" w:rsidR="004D28FB" w:rsidRPr="005C7002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5C7002">
        <w:rPr>
          <w:rFonts w:ascii="Times New Roman" w:eastAsia="Times New Roman" w:hAnsi="Times New Roman" w:cs="Times New Roman"/>
          <w:color w:val="000000"/>
          <w:lang w:eastAsia="bg-BG"/>
        </w:rPr>
        <w:tab/>
        <w:t>За всяко предаване на количество отпадък от опаковки, автоматът ще издава системен бон за отчитане на възмездна сделка по данъчното право, като пари в брой няма да се изплащат, а ще бъде възможно сумата да бъде ползвана при покупка в обекта от физическото лице, предало отпадъци от опаковки в автомата.</w:t>
      </w:r>
    </w:p>
    <w:p w14:paraId="67843A30" w14:textId="77777777" w:rsidR="004D28FB" w:rsidRPr="00E36FCA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5C7002">
        <w:rPr>
          <w:rFonts w:ascii="Times New Roman" w:eastAsia="Times New Roman" w:hAnsi="Times New Roman" w:cs="Times New Roman"/>
          <w:color w:val="000000"/>
          <w:lang w:eastAsia="bg-BG"/>
        </w:rPr>
        <w:t>Тази система за разплащане е избрана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E36FCA">
        <w:rPr>
          <w:rFonts w:ascii="Times New Roman" w:eastAsia="Times New Roman" w:hAnsi="Times New Roman" w:cs="Times New Roman"/>
          <w:color w:val="000000"/>
          <w:lang w:eastAsia="bg-BG"/>
        </w:rPr>
        <w:t xml:space="preserve">за да се стимулира и улеснява екологосъобразното поведение на клиентите. </w:t>
      </w:r>
    </w:p>
    <w:p w14:paraId="56B930D5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9933CB7" w14:textId="77777777" w:rsidR="004D28FB" w:rsidRPr="0063474E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63474E">
        <w:rPr>
          <w:rFonts w:ascii="Times New Roman" w:eastAsia="Times New Roman" w:hAnsi="Times New Roman" w:cs="Times New Roman"/>
          <w:color w:val="000000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408CEA15" w14:textId="77777777" w:rsidR="004D28FB" w:rsidRPr="006E4C15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2206F151" w14:textId="068D7E82" w:rsidR="00B81E2D" w:rsidRDefault="004D28FB" w:rsidP="00B81E2D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Заявеното ИП има връзка с издаден</w:t>
      </w:r>
      <w:r w:rsidR="00B81E2D">
        <w:rPr>
          <w:rFonts w:ascii="Times New Roman" w:eastAsia="Times New Roman" w:hAnsi="Times New Roman" w:cs="Times New Roman"/>
          <w:color w:val="000000"/>
          <w:lang w:eastAsia="bg-BG"/>
        </w:rPr>
        <w:t>о</w:t>
      </w:r>
      <w:r w:rsidR="00B81E2D" w:rsidRPr="00B81E2D">
        <w:rPr>
          <w:rFonts w:ascii="Times New Roman" w:eastAsia="Times New Roman" w:hAnsi="Times New Roman" w:cs="Times New Roman"/>
          <w:color w:val="000000"/>
          <w:lang w:eastAsia="bg-BG"/>
        </w:rPr>
        <w:t xml:space="preserve"> Решение да не се извършва ОВОС № </w:t>
      </w:r>
      <w:r w:rsidR="00627AFF" w:rsidRPr="00627AFF">
        <w:rPr>
          <w:rFonts w:ascii="Times New Roman" w:eastAsia="Times New Roman" w:hAnsi="Times New Roman" w:cs="Times New Roman"/>
          <w:color w:val="000000"/>
          <w:lang w:eastAsia="bg-BG"/>
        </w:rPr>
        <w:t xml:space="preserve">ВА–53-ПР/2016 </w:t>
      </w:r>
      <w:r w:rsidR="00B81E2D" w:rsidRPr="00B81E2D">
        <w:rPr>
          <w:rFonts w:ascii="Times New Roman" w:eastAsia="Times New Roman" w:hAnsi="Times New Roman" w:cs="Times New Roman"/>
          <w:color w:val="000000"/>
          <w:lang w:eastAsia="bg-BG"/>
        </w:rPr>
        <w:t xml:space="preserve"> за построяването и експлоатацията на търговския обект.</w:t>
      </w:r>
    </w:p>
    <w:p w14:paraId="5DEC98BB" w14:textId="77777777" w:rsidR="00B81E2D" w:rsidRPr="00B81E2D" w:rsidRDefault="00B81E2D" w:rsidP="004D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14:paraId="0548406E" w14:textId="7D05ADE1" w:rsidR="004D28FB" w:rsidRDefault="004D28FB" w:rsidP="004D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F747D7">
        <w:rPr>
          <w:rFonts w:ascii="Times New Roman" w:eastAsia="Times New Roman" w:hAnsi="Times New Roman" w:cs="Times New Roman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lang w:eastAsia="bg-BG"/>
        </w:rPr>
        <w:t xml:space="preserve">законосъобразно </w:t>
      </w:r>
      <w:r w:rsidRPr="00F747D7">
        <w:rPr>
          <w:rFonts w:ascii="Times New Roman" w:eastAsia="Times New Roman" w:hAnsi="Times New Roman" w:cs="Times New Roman"/>
          <w:lang w:eastAsia="bg-BG"/>
        </w:rPr>
        <w:t xml:space="preserve">осъществяване на исканата дейност е необходимо издаване от </w:t>
      </w:r>
    </w:p>
    <w:p w14:paraId="3FDC7090" w14:textId="570F75CC" w:rsidR="004D28FB" w:rsidRDefault="004D28FB" w:rsidP="004D28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747D7">
        <w:rPr>
          <w:rFonts w:ascii="Times New Roman" w:eastAsia="Times New Roman" w:hAnsi="Times New Roman" w:cs="Times New Roman"/>
          <w:lang w:eastAsia="bg-BG"/>
        </w:rPr>
        <w:t>РИОСВ-</w:t>
      </w:r>
      <w:r w:rsidR="00B81E2D">
        <w:rPr>
          <w:rFonts w:ascii="Times New Roman" w:eastAsia="Times New Roman" w:hAnsi="Times New Roman" w:cs="Times New Roman"/>
          <w:lang w:eastAsia="bg-BG"/>
        </w:rPr>
        <w:t>ВАРНА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F747D7">
        <w:rPr>
          <w:rFonts w:ascii="Times New Roman" w:eastAsia="Times New Roman" w:hAnsi="Times New Roman" w:cs="Times New Roman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lang w:eastAsia="bg-BG"/>
        </w:rPr>
        <w:t xml:space="preserve">регистрационен документ за дейност по „Събиране“ с основание </w:t>
      </w:r>
    </w:p>
    <w:p w14:paraId="06D70B6C" w14:textId="14173B23" w:rsidR="004D28FB" w:rsidRDefault="004D28FB" w:rsidP="004D28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747D7">
        <w:rPr>
          <w:rFonts w:ascii="Times New Roman" w:eastAsia="Times New Roman" w:hAnsi="Times New Roman" w:cs="Times New Roman"/>
          <w:lang w:eastAsia="bg-BG"/>
        </w:rPr>
        <w:t>чл. 35</w:t>
      </w:r>
      <w:r>
        <w:rPr>
          <w:rFonts w:ascii="Times New Roman" w:eastAsia="Times New Roman" w:hAnsi="Times New Roman" w:cs="Times New Roman"/>
          <w:lang w:eastAsia="bg-BG"/>
        </w:rPr>
        <w:t xml:space="preserve">, ал.2, т.2 </w:t>
      </w:r>
      <w:r w:rsidRPr="00F747D7">
        <w:rPr>
          <w:rFonts w:ascii="Times New Roman" w:eastAsia="Times New Roman" w:hAnsi="Times New Roman" w:cs="Times New Roman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lang w:eastAsia="bg-BG"/>
        </w:rPr>
        <w:t xml:space="preserve">ЗУО, </w:t>
      </w:r>
      <w:r w:rsidRPr="0091729A">
        <w:rPr>
          <w:rFonts w:ascii="Times New Roman" w:eastAsia="Times New Roman" w:hAnsi="Times New Roman" w:cs="Times New Roman"/>
          <w:lang w:eastAsia="bg-BG"/>
        </w:rPr>
        <w:t>но изрично без дейността по транспорт</w:t>
      </w:r>
      <w:r>
        <w:rPr>
          <w:rFonts w:ascii="Times New Roman" w:eastAsia="Times New Roman" w:hAnsi="Times New Roman" w:cs="Times New Roman"/>
          <w:lang w:eastAsia="bg-BG"/>
        </w:rPr>
        <w:t>.</w:t>
      </w:r>
    </w:p>
    <w:p w14:paraId="02DDF02D" w14:textId="77777777" w:rsidR="004D28FB" w:rsidRPr="0091729A" w:rsidRDefault="004D28FB" w:rsidP="004D28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  <w:r w:rsidRPr="0091729A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17539BD5" w14:textId="77777777" w:rsidR="004D28FB" w:rsidRPr="0091729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>4. Местоположение:</w:t>
      </w:r>
    </w:p>
    <w:p w14:paraId="7D8DF7AB" w14:textId="77777777" w:rsidR="004D28FB" w:rsidRPr="0091729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4A63624B" w14:textId="77777777" w:rsidR="004D28FB" w:rsidRPr="00F751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61BEA4CC" w14:textId="5404E7A9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Заявеното ИП е с със следни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</w:t>
      </w:r>
      <w:r w:rsidRPr="00E543F7">
        <w:rPr>
          <w:rFonts w:ascii="Times New Roman" w:eastAsia="Times New Roman" w:hAnsi="Times New Roman" w:cs="Times New Roman"/>
          <w:color w:val="000000"/>
          <w:lang w:eastAsia="bg-BG"/>
        </w:rPr>
        <w:t>дминистратив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>е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н адрес:</w:t>
      </w:r>
    </w:p>
    <w:p w14:paraId="325286D4" w14:textId="62734C2A" w:rsidR="009A34B4" w:rsidRPr="005F46A6" w:rsidRDefault="00627AFF" w:rsidP="009A3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>област Добрич, община Балчик, град Балчик, ул. "Дунав" № 5</w:t>
      </w:r>
    </w:p>
    <w:p w14:paraId="23E661D6" w14:textId="77777777" w:rsidR="009A34B4" w:rsidRPr="009A34B4" w:rsidRDefault="009A34B4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56771A10" w14:textId="15CCF1BB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226EE">
        <w:rPr>
          <w:rFonts w:ascii="Times New Roman" w:eastAsia="Times New Roman" w:hAnsi="Times New Roman" w:cs="Times New Roman"/>
          <w:color w:val="000000"/>
          <w:lang w:eastAsia="bg-BG"/>
        </w:rPr>
        <w:t xml:space="preserve">Адрес по кадастралната карта на гр. </w:t>
      </w:r>
      <w:r w:rsidR="00627AFF">
        <w:rPr>
          <w:rFonts w:ascii="Times New Roman" w:eastAsia="Times New Roman" w:hAnsi="Times New Roman" w:cs="Times New Roman"/>
          <w:color w:val="000000"/>
          <w:lang w:eastAsia="bg-BG"/>
        </w:rPr>
        <w:t>Балчик</w:t>
      </w:r>
      <w:r w:rsidRPr="00D226EE"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14:paraId="0724C798" w14:textId="77777777" w:rsidR="00627AFF" w:rsidRDefault="00627AFF" w:rsidP="00627AF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 xml:space="preserve">Обособена част с площ от 58 кв.м. от сграда с ЕКАТТЕ 02508.73.50.2, вид </w:t>
      </w:r>
      <w:proofErr w:type="spellStart"/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>собств</w:t>
      </w:r>
      <w:proofErr w:type="spellEnd"/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 xml:space="preserve">. Частна, </w:t>
      </w:r>
      <w:proofErr w:type="spellStart"/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>функц</w:t>
      </w:r>
      <w:proofErr w:type="spellEnd"/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 xml:space="preserve">. </w:t>
      </w:r>
      <w:proofErr w:type="spellStart"/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>предн</w:t>
      </w:r>
      <w:proofErr w:type="spellEnd"/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 xml:space="preserve">. Сграда за търговия, брой етажи 1, застроена площ 2341 кв. м., построена в поземлен имот /ПИ/ с ЕКАТТЕ 02508.73.50, област Добрич, община Балчик, гр. Балчик, п.к. 9600, ул. Дунав № 5, вид </w:t>
      </w:r>
      <w:proofErr w:type="spellStart"/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>собств</w:t>
      </w:r>
      <w:proofErr w:type="spellEnd"/>
      <w:r w:rsidRPr="00627AFF">
        <w:rPr>
          <w:rFonts w:ascii="Times New Roman" w:eastAsia="Times New Roman" w:hAnsi="Times New Roman" w:cs="Times New Roman"/>
          <w:color w:val="000000"/>
          <w:lang w:eastAsia="bg-BG"/>
        </w:rPr>
        <w:t>. Частна, вид територия Урбанизирана, НТП За друг вид застрояване, площ 8012 кв. м, квартал 27, парцел I,</w:t>
      </w:r>
    </w:p>
    <w:p w14:paraId="56899223" w14:textId="77777777" w:rsidR="00967C8A" w:rsidRDefault="00967C8A" w:rsidP="00627AF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D8EEC91" w14:textId="0260CC48" w:rsidR="004D28FB" w:rsidRPr="00DA592B" w:rsidRDefault="004D28FB" w:rsidP="00627AF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DA592B">
        <w:rPr>
          <w:rFonts w:ascii="Times New Roman" w:eastAsia="Times New Roman" w:hAnsi="Times New Roman" w:cs="Times New Roman"/>
          <w:color w:val="000000"/>
          <w:lang w:eastAsia="bg-BG"/>
        </w:rPr>
        <w:t>Координати в WGS 1984 на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поземления</w:t>
      </w:r>
      <w:r w:rsidRPr="00DA592B">
        <w:rPr>
          <w:rFonts w:ascii="Times New Roman" w:eastAsia="Times New Roman" w:hAnsi="Times New Roman" w:cs="Times New Roman"/>
          <w:color w:val="000000"/>
          <w:lang w:eastAsia="bg-BG"/>
        </w:rPr>
        <w:t xml:space="preserve"> имот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за 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>п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лощадка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>та:</w:t>
      </w:r>
    </w:p>
    <w:p w14:paraId="1FF21187" w14:textId="77777777" w:rsidR="00627AFF" w:rsidRDefault="00627AFF" w:rsidP="00627AF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B40AE">
        <w:rPr>
          <w:rFonts w:ascii="Times New Roman" w:eastAsia="Times New Roman" w:hAnsi="Times New Roman" w:cs="Times New Roman"/>
          <w:color w:val="000000"/>
          <w:lang w:eastAsia="bg-BG"/>
        </w:rPr>
        <w:t>43°25'42.9"N 28°09'32.9"E</w:t>
      </w:r>
    </w:p>
    <w:p w14:paraId="24972B08" w14:textId="77777777" w:rsidR="00627AFF" w:rsidRDefault="00627AFF" w:rsidP="00627AF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B40AE">
        <w:rPr>
          <w:rFonts w:ascii="Times New Roman" w:eastAsia="Times New Roman" w:hAnsi="Times New Roman" w:cs="Times New Roman"/>
          <w:color w:val="000000"/>
          <w:lang w:eastAsia="bg-BG"/>
        </w:rPr>
        <w:t>43°25'41.6"N 28°09'35.1"E</w:t>
      </w:r>
    </w:p>
    <w:p w14:paraId="565A9437" w14:textId="77777777" w:rsidR="00627AFF" w:rsidRDefault="00627AFF" w:rsidP="00627AF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B40AE">
        <w:rPr>
          <w:rFonts w:ascii="Times New Roman" w:eastAsia="Times New Roman" w:hAnsi="Times New Roman" w:cs="Times New Roman"/>
          <w:color w:val="000000"/>
          <w:lang w:eastAsia="bg-BG"/>
        </w:rPr>
        <w:t>43°25'38.4"N 28°09'33.3"E</w:t>
      </w:r>
    </w:p>
    <w:p w14:paraId="6BF4F8AA" w14:textId="614A4E85" w:rsidR="00627AFF" w:rsidRDefault="00627AFF" w:rsidP="00627AF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B40AE">
        <w:rPr>
          <w:rFonts w:ascii="Times New Roman" w:eastAsia="Times New Roman" w:hAnsi="Times New Roman" w:cs="Times New Roman"/>
          <w:color w:val="000000"/>
          <w:lang w:eastAsia="bg-BG"/>
        </w:rPr>
        <w:t>43°25'39.1"N 28°09'30.7"E</w:t>
      </w:r>
    </w:p>
    <w:p w14:paraId="7AB3317C" w14:textId="77777777" w:rsidR="00627AFF" w:rsidRPr="00627AFF" w:rsidRDefault="00627AFF" w:rsidP="00627AF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54897A12" w14:textId="322CA204" w:rsidR="00627AFF" w:rsidRDefault="004D28FB" w:rsidP="00627AF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F4427A">
        <w:rPr>
          <w:rFonts w:ascii="Times New Roman" w:eastAsia="Times New Roman" w:hAnsi="Times New Roman" w:cs="Times New Roman"/>
          <w:color w:val="000000"/>
          <w:lang w:eastAsia="bg-BG"/>
        </w:rPr>
        <w:t>Собственик на сградите и поземлените имоти, предмет на заявеното ИП, е Възложителя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: </w:t>
      </w:r>
      <w:r w:rsidRPr="00741EAB">
        <w:rPr>
          <w:rFonts w:ascii="Times New Roman" w:eastAsia="Times New Roman" w:hAnsi="Times New Roman" w:cs="Times New Roman"/>
          <w:color w:val="000000"/>
          <w:lang w:eastAsia="bg-BG"/>
        </w:rPr>
        <w:t>„Лидл България ЕООД енд КО“ КД, ЕИК 131071587</w:t>
      </w:r>
      <w:r>
        <w:rPr>
          <w:rFonts w:ascii="Times New Roman" w:eastAsia="Times New Roman" w:hAnsi="Times New Roman" w:cs="Times New Roman"/>
          <w:color w:val="000000"/>
          <w:lang w:eastAsia="bg-BG"/>
        </w:rPr>
        <w:t>, което е видно от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9A34B4" w:rsidRPr="009A34B4">
        <w:rPr>
          <w:rFonts w:ascii="Times New Roman" w:eastAsia="Times New Roman" w:hAnsi="Times New Roman" w:cs="Times New Roman"/>
          <w:color w:val="000000"/>
          <w:lang w:eastAsia="bg-BG"/>
        </w:rPr>
        <w:t>приложено копие от Скица №15-</w:t>
      </w:r>
      <w:r w:rsidR="00627AFF" w:rsidRPr="00627AFF">
        <w:rPr>
          <w:rFonts w:ascii="Times New Roman" w:eastAsia="Times New Roman" w:hAnsi="Times New Roman" w:cs="Times New Roman"/>
          <w:color w:val="000000"/>
          <w:lang w:eastAsia="bg-BG"/>
        </w:rPr>
        <w:t>609204 от 06.06.2022г. издадена от Служба по геодезия, картография и кадастър – гр. Добрич, на основание Договор за вписване</w:t>
      </w:r>
      <w:r w:rsidR="00627AFF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627AFF" w:rsidRPr="00627AFF">
        <w:rPr>
          <w:rFonts w:ascii="Times New Roman" w:eastAsia="Times New Roman" w:hAnsi="Times New Roman" w:cs="Times New Roman"/>
          <w:color w:val="000000"/>
          <w:lang w:eastAsia="bg-BG"/>
        </w:rPr>
        <w:t>№193, том II, рег. 2077 от 19.08.2016г. издаден от Службата по вписванията към гр. Балчик</w:t>
      </w:r>
    </w:p>
    <w:p w14:paraId="241C32AC" w14:textId="77777777" w:rsidR="00627AFF" w:rsidRPr="00627AFF" w:rsidRDefault="00627AFF" w:rsidP="009A34B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0E9D9C65" w14:textId="75504962" w:rsidR="004D28FB" w:rsidRDefault="004D28FB" w:rsidP="009A34B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Имот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предмет на заявеното ИП не попада в граници и не гранич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>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със защитени територии по смисъла на Закона за защитените територии /ЗЗТ/, нито попада в или гранич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>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със защитени зони по НАТУРА 2000 по смисъла на Закона за биологичното разнообразие /ЗБР/.</w:t>
      </w:r>
    </w:p>
    <w:p w14:paraId="4F859A85" w14:textId="77890834" w:rsidR="004D28FB" w:rsidRPr="009A34B4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3AE4E0E7" w14:textId="77777777" w:rsidR="00E44FA7" w:rsidRDefault="004D28FB" w:rsidP="009A34B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До 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>п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лощадка</w:t>
      </w:r>
      <w:r w:rsidR="009A34B4">
        <w:rPr>
          <w:rFonts w:ascii="Times New Roman" w:eastAsia="Times New Roman" w:hAnsi="Times New Roman" w:cs="Times New Roman"/>
          <w:color w:val="000000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няма в близост защитени обекти по ЗЗТ, а по ЗБР е</w:t>
      </w:r>
      <w:r w:rsidR="00E44FA7"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14:paraId="008DEDC0" w14:textId="77777777" w:rsidR="00BD2D7D" w:rsidRPr="00FF7D73" w:rsidRDefault="00BD2D7D" w:rsidP="00BD2D7D">
      <w:pPr>
        <w:pStyle w:val="a5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 w:rsidRPr="00FF7D73">
        <w:rPr>
          <w:rFonts w:ascii="Times New Roman" w:eastAsia="Times New Roman" w:hAnsi="Times New Roman" w:cs="Times New Roman"/>
          <w:color w:val="000000"/>
          <w:lang w:eastAsia="bg-BG"/>
        </w:rPr>
        <w:t>ЗЗ Белите скали BG 0002097</w:t>
      </w:r>
      <w:r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14:paraId="5FE68C74" w14:textId="77777777" w:rsidR="00BD2D7D" w:rsidRPr="00FF7D73" w:rsidRDefault="00BD2D7D" w:rsidP="00BD2D7D">
      <w:pPr>
        <w:pStyle w:val="a5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ЗЗ Комплекс Калиакра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BG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00000573;</w:t>
      </w:r>
    </w:p>
    <w:p w14:paraId="2AA736B4" w14:textId="77777777" w:rsidR="00BD2D7D" w:rsidRPr="00FF7D73" w:rsidRDefault="00BD2D7D" w:rsidP="00BD2D7D">
      <w:p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 w:rsidRPr="00FF7D73">
        <w:rPr>
          <w:rFonts w:ascii="Times New Roman" w:eastAsia="Times New Roman" w:hAnsi="Times New Roman" w:cs="Times New Roman"/>
          <w:color w:val="000000"/>
          <w:lang w:eastAsia="bg-BG"/>
        </w:rPr>
        <w:t>като в Решение да не се извършва ОВОС №</w:t>
      </w:r>
      <w:r w:rsidRPr="00FF7D73">
        <w:rPr>
          <w:rFonts w:ascii="Times New Roman" w:hAnsi="Times New Roman" w:cs="Times New Roman"/>
        </w:rPr>
        <w:t xml:space="preserve"> ВА–53-ПР/2016 за построяването и експлоатацията на търговския обект, е преценено, че е невъзможно да бъд</w:t>
      </w:r>
      <w:r>
        <w:rPr>
          <w:rFonts w:ascii="Times New Roman" w:hAnsi="Times New Roman" w:cs="Times New Roman"/>
        </w:rPr>
        <w:t>ат</w:t>
      </w:r>
      <w:r w:rsidRPr="00FF7D73">
        <w:rPr>
          <w:rFonts w:ascii="Times New Roman" w:hAnsi="Times New Roman" w:cs="Times New Roman"/>
        </w:rPr>
        <w:t xml:space="preserve"> засегнат</w:t>
      </w:r>
      <w:r>
        <w:rPr>
          <w:rFonts w:ascii="Times New Roman" w:hAnsi="Times New Roman" w:cs="Times New Roman"/>
        </w:rPr>
        <w:t>и</w:t>
      </w:r>
      <w:r w:rsidRPr="00FF7D73">
        <w:rPr>
          <w:rFonts w:ascii="Times New Roman" w:hAnsi="Times New Roman" w:cs="Times New Roman"/>
        </w:rPr>
        <w:t>.</w:t>
      </w:r>
    </w:p>
    <w:p w14:paraId="559B67DC" w14:textId="77777777" w:rsidR="00BD2D7D" w:rsidRPr="00BD2D7D" w:rsidRDefault="00BD2D7D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8BC022F" w14:textId="3581F4DC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ab/>
        <w:t>Със заявеното ИП, което е допълнителна дейност към вече реализираната, която ще бъде извършвана на закрито (в сам</w:t>
      </w:r>
      <w:r w:rsidR="00A13AA9">
        <w:rPr>
          <w:rFonts w:ascii="Times New Roman" w:eastAsia="Times New Roman" w:hAnsi="Times New Roman" w:cs="Times New Roman"/>
          <w:color w:val="000000"/>
          <w:lang w:eastAsia="bg-BG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сград</w:t>
      </w:r>
      <w:r w:rsidR="00A13AA9">
        <w:rPr>
          <w:rFonts w:ascii="Times New Roman" w:eastAsia="Times New Roman" w:hAnsi="Times New Roman" w:cs="Times New Roman"/>
          <w:color w:val="000000"/>
          <w:lang w:eastAsia="bg-BG"/>
        </w:rPr>
        <w:t>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>), не се очаква никакво въздействие върху защитените обекти по ЗЗТ и ЗБР.</w:t>
      </w:r>
    </w:p>
    <w:p w14:paraId="7FAC7E8A" w14:textId="77777777" w:rsidR="004D28FB" w:rsidRPr="00C07291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77F808D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ab/>
        <w:t>Заявеното ИП не засяга обекти подлежащи на здравна защита, територии за опазване на обекти на културното наследство.</w:t>
      </w:r>
    </w:p>
    <w:p w14:paraId="117363FD" w14:textId="77777777" w:rsidR="004D28FB" w:rsidRPr="00C07291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2CF8E52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ab/>
        <w:t>Заявеното ИП не може да окаже трансгранично въздействие.</w:t>
      </w:r>
    </w:p>
    <w:p w14:paraId="3F93961D" w14:textId="77777777" w:rsidR="004D28FB" w:rsidRPr="00C07291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BF2A477" w14:textId="73512691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ab/>
        <w:t>За реализиране на заявеното ИП не се налага промяна на съществуваща пътна инфраструктура или създаването на нова</w:t>
      </w:r>
      <w:r w:rsidR="00A13AA9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469C191C" w14:textId="77777777" w:rsidR="004D28FB" w:rsidRPr="0091729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D7C23A2" w14:textId="77777777" w:rsidR="004D28FB" w:rsidRPr="0091729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>5. Природни ресурси, предвидени за използване по време на строителството и експлоатацията:</w:t>
      </w:r>
    </w:p>
    <w:p w14:paraId="4E6FDD3C" w14:textId="77777777" w:rsidR="004D28FB" w:rsidRPr="0091729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3487297A" w14:textId="77777777" w:rsidR="004D28FB" w:rsidRPr="00144C27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404F0FA0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 xml:space="preserve">За реализиране на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заявеното ИП </w:t>
      </w: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>не са необходими дейности по строителство.</w:t>
      </w:r>
    </w:p>
    <w:p w14:paraId="341752F4" w14:textId="77777777" w:rsidR="004D28FB" w:rsidRPr="00C07291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7DD62EB5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За </w:t>
      </w: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 xml:space="preserve">реализиране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и експлоатация на заявеното ИП не е необходимо ползване</w:t>
      </w: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на </w:t>
      </w: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>природни ресурси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1CCACE51" w14:textId="77777777" w:rsidR="004D28FB" w:rsidRPr="00C07291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2B59B6F2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За реализиране на заявеното ИП не е необходима вода или изграждане на ВиК или водовземни съоръжения.</w:t>
      </w:r>
    </w:p>
    <w:p w14:paraId="2BCC1A43" w14:textId="77777777" w:rsidR="004D28FB" w:rsidRPr="00C07291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50184698" w14:textId="58FE6F6B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 xml:space="preserve">Дружеството има подписан договор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за търговски</w:t>
      </w:r>
      <w:r w:rsidR="00A13AA9">
        <w:rPr>
          <w:rFonts w:ascii="Times New Roman" w:eastAsia="Times New Roman" w:hAnsi="Times New Roman" w:cs="Times New Roman"/>
          <w:color w:val="000000"/>
          <w:lang w:eastAsia="bg-BG"/>
        </w:rPr>
        <w:t>я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обект, ко</w:t>
      </w:r>
      <w:r w:rsidR="00A13AA9">
        <w:rPr>
          <w:rFonts w:ascii="Times New Roman" w:eastAsia="Times New Roman" w:hAnsi="Times New Roman" w:cs="Times New Roman"/>
          <w:color w:val="000000"/>
          <w:lang w:eastAsia="bg-BG"/>
        </w:rPr>
        <w:t>й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то </w:t>
      </w:r>
      <w:r w:rsidR="00A13AA9">
        <w:rPr>
          <w:rFonts w:ascii="Times New Roman" w:eastAsia="Times New Roman" w:hAnsi="Times New Roman" w:cs="Times New Roman"/>
          <w:color w:val="000000"/>
          <w:lang w:eastAsia="bg-BG"/>
        </w:rPr>
        <w:t>е</w:t>
      </w: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 xml:space="preserve"> подвързан към инфраструктурата на местното ВиК дружество за доставка на чиста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питейна </w:t>
      </w:r>
      <w:r w:rsidRPr="0091729A">
        <w:rPr>
          <w:rFonts w:ascii="Times New Roman" w:eastAsia="Times New Roman" w:hAnsi="Times New Roman" w:cs="Times New Roman"/>
          <w:color w:val="000000"/>
          <w:lang w:eastAsia="bg-BG"/>
        </w:rPr>
        <w:t>вода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отвеждане на отпадни води в канализационната мрежа, с произход от жизнената дейност на персонала и хигиенизиране търговския обект.</w:t>
      </w:r>
    </w:p>
    <w:p w14:paraId="4E590F48" w14:textId="77777777" w:rsidR="004D28FB" w:rsidRPr="003953BE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9AC23BC" w14:textId="77777777" w:rsidR="004D28FB" w:rsidRPr="003953BE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953BE">
        <w:rPr>
          <w:rFonts w:ascii="Times New Roman" w:eastAsia="Times New Roman" w:hAnsi="Times New Roman" w:cs="Times New Roman"/>
          <w:color w:val="000000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6BE3B052" w14:textId="77777777" w:rsidR="004D28FB" w:rsidRPr="004A7EED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8F02F81" w14:textId="34054D63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bookmarkStart w:id="1" w:name="_Hlk106626955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При реализиране на заявеното </w:t>
      </w:r>
      <w:bookmarkEnd w:id="1"/>
      <w:r>
        <w:rPr>
          <w:rFonts w:ascii="Times New Roman" w:eastAsia="Times New Roman" w:hAnsi="Times New Roman" w:cs="Times New Roman"/>
          <w:color w:val="000000"/>
          <w:lang w:eastAsia="bg-BG"/>
        </w:rPr>
        <w:t>ИП няма да има образуване и излъчване на емисии вещества в околната среда, поради което е невъзможен техен контакт и с води.</w:t>
      </w:r>
    </w:p>
    <w:p w14:paraId="4A76AFEC" w14:textId="77777777" w:rsidR="00A13AA9" w:rsidRDefault="00A13AA9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145927C" w14:textId="77777777" w:rsidR="004D28FB" w:rsidRPr="00B26FBF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B26FBF">
        <w:rPr>
          <w:rFonts w:ascii="Times New Roman" w:eastAsia="Times New Roman" w:hAnsi="Times New Roman" w:cs="Times New Roman"/>
          <w:color w:val="000000"/>
          <w:lang w:eastAsia="bg-BG"/>
        </w:rPr>
        <w:t>7. Очаквани общи емисии на вредни вещества във въздуха по замърсители:</w:t>
      </w:r>
    </w:p>
    <w:p w14:paraId="55115B10" w14:textId="77777777" w:rsidR="004D28FB" w:rsidRPr="004A7EED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5DF619C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При реализиране на заявеното ИП няма да има образуване и излъчване на емисии вредни вещества в атмосферния въздух.</w:t>
      </w:r>
    </w:p>
    <w:p w14:paraId="35B06D9F" w14:textId="77777777" w:rsidR="004D28FB" w:rsidRPr="00AA29B4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FF0000"/>
          <w:lang w:eastAsia="bg-BG"/>
        </w:rPr>
      </w:pPr>
    </w:p>
    <w:p w14:paraId="4C6A3F55" w14:textId="77777777" w:rsidR="004D28FB" w:rsidRPr="005D404C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5D404C">
        <w:rPr>
          <w:rFonts w:ascii="Times New Roman" w:eastAsia="Times New Roman" w:hAnsi="Times New Roman" w:cs="Times New Roman"/>
          <w:lang w:eastAsia="bg-BG"/>
        </w:rPr>
        <w:t>8. Отпадъци, които се очаква да се генерират, и предвиждания за тяхното третиране:</w:t>
      </w:r>
    </w:p>
    <w:p w14:paraId="230C802A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FF0000"/>
          <w:sz w:val="12"/>
          <w:szCs w:val="12"/>
          <w:lang w:eastAsia="bg-BG"/>
        </w:rPr>
      </w:pPr>
    </w:p>
    <w:p w14:paraId="319D8E65" w14:textId="77777777" w:rsidR="004D28FB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При реализиране на заявеното ИП няма да има образуване на отпадъци от дейността.</w:t>
      </w:r>
    </w:p>
    <w:p w14:paraId="046C88F2" w14:textId="77777777" w:rsidR="004D28FB" w:rsidRPr="005D404C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52CE4DA2" w14:textId="6C0BA884" w:rsidR="004D28FB" w:rsidRPr="006B195C" w:rsidRDefault="004D28FB" w:rsidP="004D28F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6B195C">
        <w:rPr>
          <w:rFonts w:ascii="Times New Roman" w:eastAsia="Times New Roman" w:hAnsi="Times New Roman" w:cs="Times New Roman"/>
          <w:color w:val="000000"/>
          <w:lang w:eastAsia="bg-BG"/>
        </w:rPr>
        <w:t xml:space="preserve">Ако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отпадък от</w:t>
      </w:r>
      <w:r w:rsidRPr="006B195C">
        <w:rPr>
          <w:rFonts w:ascii="Times New Roman" w:eastAsia="Times New Roman" w:hAnsi="Times New Roman" w:cs="Times New Roman"/>
          <w:color w:val="000000"/>
          <w:lang w:eastAsia="bg-BG"/>
        </w:rPr>
        <w:t xml:space="preserve"> опаковка бъде върнат от маши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на разположена на </w:t>
      </w:r>
      <w:r w:rsidR="00A13AA9">
        <w:rPr>
          <w:rFonts w:ascii="Times New Roman" w:eastAsia="Times New Roman" w:hAnsi="Times New Roman" w:cs="Times New Roman"/>
          <w:color w:val="000000"/>
          <w:lang w:eastAsia="bg-BG"/>
        </w:rPr>
        <w:t>п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лощадка</w:t>
      </w:r>
      <w:r w:rsidR="00A13AA9">
        <w:rPr>
          <w:rFonts w:ascii="Times New Roman" w:eastAsia="Times New Roman" w:hAnsi="Times New Roman" w:cs="Times New Roman"/>
          <w:color w:val="000000"/>
          <w:lang w:eastAsia="bg-BG"/>
        </w:rPr>
        <w:t>та</w:t>
      </w:r>
      <w:r w:rsidRPr="006B195C"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като неподходящ за прием, отпадъкът </w:t>
      </w:r>
      <w:r w:rsidRPr="006B195C">
        <w:rPr>
          <w:rFonts w:ascii="Times New Roman" w:eastAsia="Times New Roman" w:hAnsi="Times New Roman" w:cs="Times New Roman"/>
          <w:color w:val="000000"/>
          <w:lang w:eastAsia="bg-BG"/>
        </w:rPr>
        <w:t xml:space="preserve">остава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собственост и </w:t>
      </w:r>
      <w:r w:rsidRPr="006B195C">
        <w:rPr>
          <w:rFonts w:ascii="Times New Roman" w:eastAsia="Times New Roman" w:hAnsi="Times New Roman" w:cs="Times New Roman"/>
          <w:color w:val="000000"/>
          <w:lang w:eastAsia="bg-BG"/>
        </w:rPr>
        <w:t>отговорност на приносител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я.</w:t>
      </w:r>
    </w:p>
    <w:p w14:paraId="7D321C78" w14:textId="77777777" w:rsidR="00C95FA3" w:rsidRPr="007720E7" w:rsidRDefault="00C95FA3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EB63E4D" w14:textId="77777777" w:rsidR="004D28FB" w:rsidRPr="007720E7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7720E7">
        <w:rPr>
          <w:rFonts w:ascii="Times New Roman" w:eastAsia="Times New Roman" w:hAnsi="Times New Roman" w:cs="Times New Roman"/>
          <w:color w:val="000000"/>
          <w:lang w:eastAsia="bg-BG"/>
        </w:rPr>
        <w:t>9. Отпадъчни води:</w:t>
      </w:r>
    </w:p>
    <w:p w14:paraId="7080F87F" w14:textId="77777777" w:rsidR="004D28FB" w:rsidRPr="007720E7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7720E7">
        <w:rPr>
          <w:rFonts w:ascii="Times New Roman" w:eastAsia="Times New Roman" w:hAnsi="Times New Roman" w:cs="Times New Roman"/>
          <w:color w:val="000000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1ECA08E4" w14:textId="77777777" w:rsidR="004D28FB" w:rsidRPr="00D96B47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47C3C3E8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7720E7">
        <w:rPr>
          <w:rFonts w:ascii="Times New Roman" w:eastAsia="Times New Roman" w:hAnsi="Times New Roman" w:cs="Times New Roman"/>
          <w:color w:val="000000"/>
          <w:lang w:eastAsia="bg-BG"/>
        </w:rPr>
        <w:tab/>
        <w:t xml:space="preserve">При реализиране на заявеното ИП няма да има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ползване на </w:t>
      </w:r>
      <w:r w:rsidRPr="007720E7">
        <w:rPr>
          <w:rFonts w:ascii="Times New Roman" w:eastAsia="Times New Roman" w:hAnsi="Times New Roman" w:cs="Times New Roman"/>
          <w:color w:val="000000"/>
          <w:lang w:eastAsia="bg-BG"/>
        </w:rPr>
        <w:t>вод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</w:t>
      </w:r>
      <w:r w:rsidRPr="007720E7">
        <w:rPr>
          <w:rFonts w:ascii="Times New Roman" w:eastAsia="Times New Roman" w:hAnsi="Times New Roman" w:cs="Times New Roman"/>
          <w:color w:val="000000"/>
          <w:lang w:eastAsia="bg-BG"/>
        </w:rPr>
        <w:t>, нито ще има генериране на отпадни води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3C3F7426" w14:textId="77777777" w:rsidR="004D28FB" w:rsidRPr="00AE04A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957999D" w14:textId="77777777" w:rsidR="004D28FB" w:rsidRPr="00AE04A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E04AA">
        <w:rPr>
          <w:rFonts w:ascii="Times New Roman" w:eastAsia="Times New Roman" w:hAnsi="Times New Roman" w:cs="Times New Roman"/>
          <w:color w:val="000000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60AD04A2" w14:textId="77777777" w:rsidR="004D28FB" w:rsidRPr="00AE04AA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E04AA">
        <w:rPr>
          <w:rFonts w:ascii="Times New Roman" w:eastAsia="Times New Roman" w:hAnsi="Times New Roman" w:cs="Times New Roman"/>
          <w:color w:val="000000"/>
          <w:lang w:eastAsia="bg-BG"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6897AA91" w14:textId="77777777" w:rsidR="004D28FB" w:rsidRPr="00D96B47" w:rsidRDefault="004D28FB" w:rsidP="004D28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1D777636" w14:textId="77777777" w:rsidR="004D28FB" w:rsidRDefault="004D28FB" w:rsidP="004D28FB">
      <w:pPr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lang w:eastAsia="bg-BG"/>
        </w:rPr>
      </w:pPr>
      <w:r>
        <w:rPr>
          <w:rFonts w:ascii="Times New Roman" w:hAnsi="Times New Roman"/>
          <w:iCs/>
          <w:color w:val="000000"/>
          <w:lang w:eastAsia="bg-BG"/>
        </w:rPr>
        <w:tab/>
      </w:r>
      <w:r w:rsidRPr="007720E7">
        <w:rPr>
          <w:rFonts w:ascii="Times New Roman" w:eastAsia="Times New Roman" w:hAnsi="Times New Roman" w:cs="Times New Roman"/>
          <w:color w:val="000000"/>
          <w:lang w:eastAsia="bg-BG"/>
        </w:rPr>
        <w:t xml:space="preserve">При реализиране на заявеното ИП </w:t>
      </w:r>
      <w:r>
        <w:rPr>
          <w:rFonts w:ascii="Times New Roman" w:hAnsi="Times New Roman"/>
          <w:iCs/>
          <w:color w:val="000000"/>
          <w:lang w:eastAsia="bg-BG"/>
        </w:rPr>
        <w:t>не са необходими и няма да има наличие на опасни химични вещества на територията на площадката.</w:t>
      </w:r>
    </w:p>
    <w:p w14:paraId="74935987" w14:textId="77777777" w:rsidR="004D28FB" w:rsidRPr="008C4EA1" w:rsidRDefault="004D28FB" w:rsidP="00C95FA3">
      <w:pPr>
        <w:spacing w:after="0" w:line="240" w:lineRule="auto"/>
        <w:rPr>
          <w:sz w:val="12"/>
          <w:szCs w:val="12"/>
        </w:rPr>
      </w:pPr>
    </w:p>
    <w:p w14:paraId="423F67D1" w14:textId="77777777" w:rsidR="00B92499" w:rsidRPr="00B3213B" w:rsidRDefault="00B92499" w:rsidP="00B92499">
      <w:pPr>
        <w:ind w:firstLine="720"/>
        <w:jc w:val="both"/>
        <w:rPr>
          <w:rFonts w:ascii="Times New Roman" w:hAnsi="Times New Roman" w:cs="Times New Roman"/>
          <w:b/>
        </w:rPr>
      </w:pPr>
      <w:r w:rsidRPr="00B3213B">
        <w:rPr>
          <w:rFonts w:ascii="Times New Roman" w:hAnsi="Times New Roman" w:cs="Times New Roman"/>
          <w:b/>
        </w:rPr>
        <w:t>Моля за Вашето становище относно реализацията на инвестиционното предложение, предвид устройствената зона, в която попада територията, както и относно проявения обществен интерес към него.</w:t>
      </w:r>
    </w:p>
    <w:p w14:paraId="32CE02EE" w14:textId="647A4EFA" w:rsidR="00575D2E" w:rsidRDefault="00575D2E" w:rsidP="00B9127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E04AA">
        <w:rPr>
          <w:rFonts w:ascii="Times New Roman" w:eastAsia="Times New Roman" w:hAnsi="Times New Roman" w:cs="Times New Roman"/>
          <w:color w:val="000000"/>
          <w:lang w:eastAsia="bg-BG"/>
        </w:rPr>
        <w:t>Прилагам:</w:t>
      </w:r>
    </w:p>
    <w:p w14:paraId="57F59B87" w14:textId="77777777" w:rsidR="00B92499" w:rsidRPr="00C321D7" w:rsidRDefault="00B92499" w:rsidP="00B92499">
      <w:pPr>
        <w:pStyle w:val="31"/>
        <w:widowControl w:val="0"/>
        <w:numPr>
          <w:ilvl w:val="0"/>
          <w:numId w:val="14"/>
        </w:numPr>
        <w:spacing w:after="0" w:line="100" w:lineRule="atLeast"/>
        <w:ind w:left="36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321D7">
        <w:rPr>
          <w:rFonts w:ascii="Times New Roman" w:hAnsi="Times New Roman" w:cs="Times New Roman"/>
          <w:sz w:val="24"/>
          <w:szCs w:val="24"/>
          <w:lang w:val="bg-BG"/>
        </w:rPr>
        <w:t>Един брой копие на хартиен и един брой копие на електронен носител (</w:t>
      </w:r>
      <w:r w:rsidRPr="00C321D7">
        <w:rPr>
          <w:rFonts w:ascii="Times New Roman" w:hAnsi="Times New Roman" w:cs="Times New Roman"/>
          <w:sz w:val="24"/>
          <w:szCs w:val="24"/>
        </w:rPr>
        <w:t>CD</w:t>
      </w:r>
      <w:r w:rsidRPr="00C321D7">
        <w:rPr>
          <w:rFonts w:ascii="Times New Roman" w:hAnsi="Times New Roman" w:cs="Times New Roman"/>
          <w:sz w:val="24"/>
          <w:szCs w:val="24"/>
          <w:lang w:val="bg-BG"/>
        </w:rPr>
        <w:t xml:space="preserve">) от </w:t>
      </w:r>
    </w:p>
    <w:p w14:paraId="045C74AB" w14:textId="77777777" w:rsidR="00B92499" w:rsidRDefault="00B92499" w:rsidP="00B92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D7">
        <w:rPr>
          <w:rFonts w:ascii="Times New Roman" w:hAnsi="Times New Roman" w:cs="Times New Roman"/>
        </w:rPr>
        <w:t>настоящото уведомление, съдържащо всички приложени документи</w:t>
      </w:r>
      <w:r>
        <w:rPr>
          <w:rFonts w:ascii="Times New Roman" w:hAnsi="Times New Roman" w:cs="Times New Roman"/>
        </w:rPr>
        <w:t>, включително по т.2 и т.3,</w:t>
      </w:r>
      <w:r w:rsidRPr="00C321D7">
        <w:rPr>
          <w:rFonts w:ascii="Times New Roman" w:hAnsi="Times New Roman" w:cs="Times New Roman"/>
        </w:rPr>
        <w:t xml:space="preserve">  в електронен </w:t>
      </w:r>
      <w:r>
        <w:rPr>
          <w:rFonts w:ascii="Times New Roman" w:hAnsi="Times New Roman" w:cs="Times New Roman"/>
        </w:rPr>
        <w:t>вид</w:t>
      </w:r>
      <w:r w:rsidRPr="00C321D7">
        <w:rPr>
          <w:rFonts w:ascii="Times New Roman" w:hAnsi="Times New Roman" w:cs="Times New Roman"/>
        </w:rPr>
        <w:t>.</w:t>
      </w:r>
    </w:p>
    <w:p w14:paraId="1EC91AA7" w14:textId="1E03FBE3" w:rsidR="00B92499" w:rsidRPr="007257B9" w:rsidRDefault="00B92499" w:rsidP="00B9127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bg-BG"/>
        </w:rPr>
      </w:pPr>
    </w:p>
    <w:p w14:paraId="34D8CE26" w14:textId="40761F7E" w:rsidR="00B92499" w:rsidRPr="003F5D2C" w:rsidRDefault="00B92499" w:rsidP="003F5D2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F5D2C">
        <w:rPr>
          <w:rFonts w:ascii="Times New Roman" w:eastAsia="Times New Roman" w:hAnsi="Times New Roman" w:cs="Times New Roman"/>
          <w:lang w:eastAsia="bg-BG"/>
        </w:rPr>
        <w:t>Други документи по преценка на уведомителя:</w:t>
      </w:r>
    </w:p>
    <w:p w14:paraId="7A16908B" w14:textId="77777777" w:rsidR="0018438E" w:rsidRDefault="003F5D2C" w:rsidP="0018438E">
      <w:pPr>
        <w:pStyle w:val="a5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13AA9">
        <w:rPr>
          <w:rFonts w:ascii="Times New Roman" w:eastAsia="Times New Roman" w:hAnsi="Times New Roman" w:cs="Times New Roman"/>
          <w:color w:val="000000"/>
          <w:lang w:eastAsia="bg-BG"/>
        </w:rPr>
        <w:t>Копие на скица за №15</w:t>
      </w:r>
      <w:r w:rsidR="00A13AA9" w:rsidRPr="00A13AA9">
        <w:rPr>
          <w:rFonts w:ascii="Times New Roman" w:eastAsia="Times New Roman" w:hAnsi="Times New Roman" w:cs="Times New Roman"/>
          <w:color w:val="000000"/>
          <w:lang w:eastAsia="bg-BG"/>
        </w:rPr>
        <w:t>-</w:t>
      </w:r>
      <w:r w:rsidR="0018438E" w:rsidRPr="0018438E">
        <w:rPr>
          <w:rFonts w:ascii="Times New Roman" w:eastAsia="Times New Roman" w:hAnsi="Times New Roman" w:cs="Times New Roman"/>
          <w:color w:val="000000"/>
          <w:lang w:eastAsia="bg-BG"/>
        </w:rPr>
        <w:t xml:space="preserve">609204 от 06.06.2022г. издадена от </w:t>
      </w:r>
      <w:proofErr w:type="spellStart"/>
      <w:r w:rsidR="0018438E" w:rsidRPr="0018438E">
        <w:rPr>
          <w:rFonts w:ascii="Times New Roman" w:eastAsia="Times New Roman" w:hAnsi="Times New Roman" w:cs="Times New Roman"/>
          <w:color w:val="000000"/>
          <w:lang w:eastAsia="bg-BG"/>
        </w:rPr>
        <w:t>Службапо</w:t>
      </w:r>
      <w:proofErr w:type="spellEnd"/>
      <w:r w:rsidR="0018438E" w:rsidRPr="0018438E">
        <w:rPr>
          <w:rFonts w:ascii="Times New Roman" w:eastAsia="Times New Roman" w:hAnsi="Times New Roman" w:cs="Times New Roman"/>
          <w:color w:val="000000"/>
          <w:lang w:eastAsia="bg-BG"/>
        </w:rPr>
        <w:t xml:space="preserve"> геодезия, </w:t>
      </w:r>
    </w:p>
    <w:p w14:paraId="569E1D6C" w14:textId="7216FB3E" w:rsidR="0018438E" w:rsidRPr="0018438E" w:rsidRDefault="0018438E" w:rsidP="0018438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18438E">
        <w:rPr>
          <w:rFonts w:ascii="Times New Roman" w:eastAsia="Times New Roman" w:hAnsi="Times New Roman" w:cs="Times New Roman"/>
          <w:color w:val="000000"/>
          <w:lang w:eastAsia="bg-BG"/>
        </w:rPr>
        <w:t>картография и кадастър – гр. Добрич, от която е видна собствеността над имота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18438E">
        <w:rPr>
          <w:rFonts w:ascii="Times New Roman" w:eastAsia="Times New Roman" w:hAnsi="Times New Roman" w:cs="Times New Roman"/>
          <w:color w:val="000000"/>
          <w:lang w:eastAsia="bg-BG"/>
        </w:rPr>
        <w:t>(качество на Възложител по смисъла на т.20 към §1 от РД на ЗООС) и  пространственото му разположение;</w:t>
      </w:r>
    </w:p>
    <w:p w14:paraId="0A291F3B" w14:textId="77777777" w:rsidR="003F5D2C" w:rsidRPr="00064C56" w:rsidRDefault="003F5D2C" w:rsidP="003F5D2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bg-BG"/>
        </w:rPr>
      </w:pPr>
    </w:p>
    <w:p w14:paraId="0FCC5B07" w14:textId="430F52E2" w:rsidR="00A13AA9" w:rsidRDefault="003F5D2C" w:rsidP="00A13AA9">
      <w:pPr>
        <w:pStyle w:val="a5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 w:rsidRPr="003F5D2C">
        <w:rPr>
          <w:rFonts w:ascii="Times New Roman" w:eastAsia="Times New Roman" w:hAnsi="Times New Roman" w:cs="Times New Roman"/>
          <w:color w:val="000000"/>
          <w:lang w:eastAsia="bg-BG"/>
        </w:rPr>
        <w:t xml:space="preserve"> Копие на Решение да не се извършва ОВОС № </w:t>
      </w:r>
      <w:r w:rsidR="00313F7B" w:rsidRPr="00313F7B">
        <w:rPr>
          <w:rFonts w:ascii="Times New Roman" w:hAnsi="Times New Roman" w:cs="Times New Roman"/>
        </w:rPr>
        <w:t>ВА–53-ПР/2016</w:t>
      </w:r>
      <w:r w:rsidR="00313F7B">
        <w:rPr>
          <w:rFonts w:ascii="Times New Roman" w:hAnsi="Times New Roman" w:cs="Times New Roman"/>
        </w:rPr>
        <w:t xml:space="preserve"> </w:t>
      </w:r>
      <w:r w:rsidR="00A13AA9" w:rsidRPr="00A13AA9">
        <w:rPr>
          <w:rFonts w:ascii="Times New Roman" w:hAnsi="Times New Roman" w:cs="Times New Roman"/>
        </w:rPr>
        <w:t xml:space="preserve">на Директора на </w:t>
      </w:r>
    </w:p>
    <w:p w14:paraId="0A7386DC" w14:textId="32BC6540" w:rsidR="00A13AA9" w:rsidRDefault="00A13AA9" w:rsidP="00A13AA9">
      <w:p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 w:rsidRPr="00A13AA9">
        <w:rPr>
          <w:rFonts w:ascii="Times New Roman" w:hAnsi="Times New Roman" w:cs="Times New Roman"/>
        </w:rPr>
        <w:t>РИОСВ-Варна;</w:t>
      </w:r>
    </w:p>
    <w:p w14:paraId="00850DDD" w14:textId="77777777" w:rsidR="00A13AA9" w:rsidRPr="007257B9" w:rsidRDefault="00A13AA9" w:rsidP="00A13AA9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6"/>
          <w:szCs w:val="6"/>
        </w:rPr>
      </w:pPr>
    </w:p>
    <w:p w14:paraId="60D1592D" w14:textId="77777777" w:rsidR="00B92499" w:rsidRPr="00C44823" w:rsidRDefault="00B92499" w:rsidP="00B92499">
      <w:pPr>
        <w:pStyle w:val="31"/>
        <w:widowControl w:val="0"/>
        <w:numPr>
          <w:ilvl w:val="0"/>
          <w:numId w:val="16"/>
        </w:numPr>
        <w:spacing w:after="0" w:line="100" w:lineRule="atLeast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7E0398">
        <w:rPr>
          <w:rFonts w:ascii="Times New Roman" w:hAnsi="Times New Roman" w:cs="Times New Roman"/>
          <w:sz w:val="24"/>
          <w:szCs w:val="24"/>
          <w:lang w:val="bg-BG"/>
        </w:rPr>
        <w:t>Обява (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електронен вид и </w:t>
      </w:r>
      <w:r w:rsidRPr="007E0398">
        <w:rPr>
          <w:rFonts w:ascii="Times New Roman" w:hAnsi="Times New Roman" w:cs="Times New Roman"/>
          <w:sz w:val="24"/>
          <w:szCs w:val="24"/>
          <w:lang w:val="bg-BG"/>
        </w:rPr>
        <w:t xml:space="preserve">три екземпляра на хартиен носител), с която да бъде </w:t>
      </w:r>
    </w:p>
    <w:p w14:paraId="5A570A68" w14:textId="77777777" w:rsidR="00B92499" w:rsidRPr="007E0398" w:rsidRDefault="00B92499" w:rsidP="00B92499">
      <w:pPr>
        <w:pStyle w:val="31"/>
        <w:widowControl w:val="0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7E0398">
        <w:rPr>
          <w:rFonts w:ascii="Times New Roman" w:hAnsi="Times New Roman" w:cs="Times New Roman"/>
          <w:sz w:val="24"/>
          <w:szCs w:val="24"/>
          <w:lang w:val="bg-BG"/>
        </w:rPr>
        <w:t>информирано засегнатото население на територията на Вашата община/район/кметство, чрез поставяне на информационно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табло или публикуване на електронната страница на общината. </w:t>
      </w:r>
    </w:p>
    <w:p w14:paraId="0A159067" w14:textId="7851724B" w:rsidR="003F5D2C" w:rsidRPr="007257B9" w:rsidRDefault="003F5D2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bg-BG"/>
        </w:rPr>
      </w:pPr>
    </w:p>
    <w:p w14:paraId="3C54F994" w14:textId="77777777" w:rsidR="00967C8A" w:rsidRDefault="00967C8A" w:rsidP="00967C8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E04AA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………………….                             Уведомител: </w:t>
      </w:r>
    </w:p>
    <w:p w14:paraId="138868DB" w14:textId="77777777" w:rsidR="00967C8A" w:rsidRDefault="00967C8A" w:rsidP="00967C8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32B5C8B" w14:textId="77777777" w:rsidR="00967C8A" w:rsidRDefault="00967C8A" w:rsidP="00967C8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18A292B" w14:textId="77777777" w:rsidR="00967C8A" w:rsidRPr="00FD3A80" w:rsidRDefault="00967C8A" w:rsidP="00967C8A">
      <w:pPr>
        <w:spacing w:after="0" w:line="240" w:lineRule="auto"/>
        <w:ind w:left="4248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821B86">
        <w:rPr>
          <w:rFonts w:ascii="Times New Roman" w:eastAsia="Times New Roman" w:hAnsi="Times New Roman" w:cs="Times New Roman"/>
          <w:lang w:eastAsia="bg-BG"/>
        </w:rPr>
        <w:t>Георги Георгиев Иванов</w:t>
      </w:r>
      <w:r w:rsidRPr="00FD3A80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val="en-US" w:eastAsia="bg-BG"/>
        </w:rPr>
        <w:t xml:space="preserve">– </w:t>
      </w:r>
      <w:r>
        <w:rPr>
          <w:rFonts w:ascii="Times New Roman" w:eastAsia="Times New Roman" w:hAnsi="Times New Roman" w:cs="Times New Roman"/>
          <w:lang w:eastAsia="bg-BG"/>
        </w:rPr>
        <w:t xml:space="preserve">Управител </w:t>
      </w:r>
    </w:p>
    <w:p w14:paraId="0C5A4D63" w14:textId="78634910" w:rsidR="00967C8A" w:rsidRPr="00FD3A80" w:rsidRDefault="00967C8A" w:rsidP="00967C8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lang w:val="en" w:eastAsia="bg-BG"/>
        </w:rPr>
      </w:pPr>
      <w:r w:rsidRPr="00FD3A80">
        <w:rPr>
          <w:rFonts w:ascii="Times New Roman" w:eastAsia="Times New Roman" w:hAnsi="Times New Roman" w:cs="Times New Roman"/>
          <w:i/>
          <w:iCs/>
          <w:color w:val="000000"/>
          <w:lang w:val="en" w:eastAsia="bg-BG"/>
        </w:rPr>
        <w:t xml:space="preserve">                                                                                    (подпис)</w:t>
      </w:r>
    </w:p>
    <w:p w14:paraId="7C1F4C3F" w14:textId="77777777" w:rsidR="00967C8A" w:rsidRDefault="00967C8A" w:rsidP="00967C8A">
      <w:pPr>
        <w:pStyle w:val="a5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14:paraId="57BCF556" w14:textId="77777777" w:rsidR="00967C8A" w:rsidRDefault="00967C8A" w:rsidP="00967C8A">
      <w:pPr>
        <w:pStyle w:val="a5"/>
        <w:spacing w:after="0" w:line="240" w:lineRule="auto"/>
        <w:ind w:left="2844" w:firstLine="696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14:paraId="071CC62D" w14:textId="77777777" w:rsidR="00967C8A" w:rsidRPr="00ED2B37" w:rsidRDefault="00967C8A" w:rsidP="00967C8A">
      <w:pPr>
        <w:pStyle w:val="a5"/>
        <w:spacing w:after="0" w:line="240" w:lineRule="auto"/>
        <w:ind w:left="3552" w:firstLine="69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50074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Чавдар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Маринов </w:t>
      </w:r>
      <w:r w:rsidRPr="0050074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Михайлов – </w:t>
      </w:r>
      <w:r>
        <w:rPr>
          <w:rFonts w:ascii="Times New Roman" w:eastAsia="Times New Roman" w:hAnsi="Times New Roman" w:cs="Times New Roman"/>
          <w:color w:val="000000" w:themeColor="text1"/>
          <w:lang w:eastAsia="bg-BG"/>
        </w:rPr>
        <w:t>П</w:t>
      </w:r>
      <w:r w:rsidRPr="0050074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рокурист </w:t>
      </w:r>
    </w:p>
    <w:p w14:paraId="1019F593" w14:textId="6FB98AA2" w:rsidR="00AE04AA" w:rsidRPr="00FD3A80" w:rsidRDefault="00967C8A" w:rsidP="00967C8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lang w:val="en" w:eastAsia="bg-BG"/>
        </w:rPr>
      </w:pPr>
      <w:r w:rsidRPr="00FD3A80">
        <w:rPr>
          <w:rFonts w:ascii="Times New Roman" w:eastAsia="Times New Roman" w:hAnsi="Times New Roman" w:cs="Times New Roman"/>
          <w:i/>
          <w:iCs/>
          <w:color w:val="000000"/>
          <w:lang w:val="en" w:eastAsia="bg-BG"/>
        </w:rPr>
        <w:t xml:space="preserve">                                                                                      (подпис)</w:t>
      </w:r>
    </w:p>
    <w:sectPr w:rsidR="00AE04AA" w:rsidRPr="00FD3A80" w:rsidSect="00575D2E">
      <w:footerReference w:type="default" r:id="rId9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56B2" w14:textId="77777777" w:rsidR="003E2E84" w:rsidRDefault="003E2E84" w:rsidP="00AE04AA">
      <w:pPr>
        <w:spacing w:after="0" w:line="240" w:lineRule="auto"/>
      </w:pPr>
      <w:r>
        <w:separator/>
      </w:r>
    </w:p>
  </w:endnote>
  <w:endnote w:type="continuationSeparator" w:id="0">
    <w:p w14:paraId="01EC3A4C" w14:textId="77777777" w:rsidR="003E2E84" w:rsidRDefault="003E2E84" w:rsidP="00AE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95">
    <w:altName w:val="Times New Roman"/>
    <w:charset w:val="CC"/>
    <w:family w:val="auto"/>
    <w:pitch w:val="variable"/>
  </w:font>
  <w:font w:name="font59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2E95" w14:textId="30D094CB" w:rsidR="00AE04AA" w:rsidRPr="008A7E73" w:rsidRDefault="00AE04AA" w:rsidP="00AE04A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808080" w:themeColor="background1" w:themeShade="80"/>
      </w:rPr>
    </w:pPr>
    <w:r w:rsidRPr="008A7E73">
      <w:rPr>
        <w:rFonts w:ascii="Times New Roman" w:hAnsi="Times New Roman" w:cs="Times New Roman"/>
        <w:color w:val="808080" w:themeColor="background1" w:themeShade="80"/>
        <w:spacing w:val="60"/>
      </w:rPr>
      <w:t>Страница</w:t>
    </w:r>
    <w:r w:rsidRPr="008A7E73">
      <w:rPr>
        <w:rFonts w:ascii="Times New Roman" w:hAnsi="Times New Roman" w:cs="Times New Roman"/>
        <w:color w:val="808080" w:themeColor="background1" w:themeShade="80"/>
      </w:rPr>
      <w:t xml:space="preserve"> </w:t>
    </w:r>
    <w:r w:rsidRPr="008A7E73">
      <w:rPr>
        <w:rFonts w:ascii="Times New Roman" w:hAnsi="Times New Roman" w:cs="Times New Roman"/>
        <w:color w:val="808080" w:themeColor="background1" w:themeShade="80"/>
      </w:rPr>
      <w:fldChar w:fldCharType="begin"/>
    </w:r>
    <w:r w:rsidRPr="008A7E73">
      <w:rPr>
        <w:rFonts w:ascii="Times New Roman" w:hAnsi="Times New Roman" w:cs="Times New Roman"/>
        <w:color w:val="808080" w:themeColor="background1" w:themeShade="80"/>
      </w:rPr>
      <w:instrText>PAGE   \* MERGEFORMAT</w:instrText>
    </w:r>
    <w:r w:rsidRPr="008A7E73">
      <w:rPr>
        <w:rFonts w:ascii="Times New Roman" w:hAnsi="Times New Roman" w:cs="Times New Roman"/>
        <w:color w:val="808080" w:themeColor="background1" w:themeShade="80"/>
      </w:rPr>
      <w:fldChar w:fldCharType="separate"/>
    </w:r>
    <w:r w:rsidRPr="008A7E73">
      <w:rPr>
        <w:rFonts w:ascii="Times New Roman" w:hAnsi="Times New Roman" w:cs="Times New Roman"/>
        <w:color w:val="808080" w:themeColor="background1" w:themeShade="80"/>
      </w:rPr>
      <w:t>1</w:t>
    </w:r>
    <w:r w:rsidRPr="008A7E73">
      <w:rPr>
        <w:rFonts w:ascii="Times New Roman" w:hAnsi="Times New Roman" w:cs="Times New Roman"/>
        <w:color w:val="808080" w:themeColor="background1" w:themeShade="80"/>
      </w:rPr>
      <w:fldChar w:fldCharType="end"/>
    </w:r>
    <w:r w:rsidRPr="008A7E73">
      <w:rPr>
        <w:rFonts w:ascii="Times New Roman" w:hAnsi="Times New Roman" w:cs="Times New Roman"/>
        <w:color w:val="808080" w:themeColor="background1" w:themeShade="80"/>
      </w:rPr>
      <w:t xml:space="preserve"> | </w:t>
    </w:r>
    <w:r w:rsidRPr="008A7E73">
      <w:rPr>
        <w:rFonts w:ascii="Times New Roman" w:hAnsi="Times New Roman" w:cs="Times New Roman"/>
        <w:color w:val="808080" w:themeColor="background1" w:themeShade="80"/>
      </w:rPr>
      <w:fldChar w:fldCharType="begin"/>
    </w:r>
    <w:r w:rsidRPr="008A7E73">
      <w:rPr>
        <w:rFonts w:ascii="Times New Roman" w:hAnsi="Times New Roman" w:cs="Times New Roman"/>
        <w:color w:val="808080" w:themeColor="background1" w:themeShade="80"/>
      </w:rPr>
      <w:instrText>NUMPAGES  \* Arabic  \* MERGEFORMAT</w:instrText>
    </w:r>
    <w:r w:rsidRPr="008A7E73">
      <w:rPr>
        <w:rFonts w:ascii="Times New Roman" w:hAnsi="Times New Roman" w:cs="Times New Roman"/>
        <w:color w:val="808080" w:themeColor="background1" w:themeShade="80"/>
      </w:rPr>
      <w:fldChar w:fldCharType="separate"/>
    </w:r>
    <w:r w:rsidRPr="008A7E73">
      <w:rPr>
        <w:rFonts w:ascii="Times New Roman" w:hAnsi="Times New Roman" w:cs="Times New Roman"/>
        <w:color w:val="808080" w:themeColor="background1" w:themeShade="80"/>
      </w:rPr>
      <w:t>1</w:t>
    </w:r>
    <w:r w:rsidRPr="008A7E73">
      <w:rPr>
        <w:rFonts w:ascii="Times New Roman" w:hAnsi="Times New Roman" w:cs="Times New Roman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1715" w14:textId="77777777" w:rsidR="003E2E84" w:rsidRDefault="003E2E84" w:rsidP="00AE04AA">
      <w:pPr>
        <w:spacing w:after="0" w:line="240" w:lineRule="auto"/>
      </w:pPr>
      <w:r>
        <w:separator/>
      </w:r>
    </w:p>
  </w:footnote>
  <w:footnote w:type="continuationSeparator" w:id="0">
    <w:p w14:paraId="6E8D4536" w14:textId="77777777" w:rsidR="003E2E84" w:rsidRDefault="003E2E84" w:rsidP="00AE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3"/>
      </w:rPr>
    </w:lvl>
  </w:abstractNum>
  <w:abstractNum w:abstractNumId="1" w15:restartNumberingAfterBreak="0">
    <w:nsid w:val="055F4723"/>
    <w:multiLevelType w:val="hybridMultilevel"/>
    <w:tmpl w:val="8CB690B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AA9"/>
    <w:multiLevelType w:val="hybridMultilevel"/>
    <w:tmpl w:val="4BD8F2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0713"/>
    <w:multiLevelType w:val="hybridMultilevel"/>
    <w:tmpl w:val="DD802684"/>
    <w:lvl w:ilvl="0" w:tplc="A5288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7E7F"/>
    <w:multiLevelType w:val="multilevel"/>
    <w:tmpl w:val="419C92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7156B1"/>
    <w:multiLevelType w:val="hybridMultilevel"/>
    <w:tmpl w:val="661EEB4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3564"/>
    <w:multiLevelType w:val="hybridMultilevel"/>
    <w:tmpl w:val="46C6AF50"/>
    <w:lvl w:ilvl="0" w:tplc="0164A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1F7B"/>
    <w:multiLevelType w:val="hybridMultilevel"/>
    <w:tmpl w:val="24A896E6"/>
    <w:lvl w:ilvl="0" w:tplc="F1DC0F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34C8"/>
    <w:multiLevelType w:val="hybridMultilevel"/>
    <w:tmpl w:val="E09C4E74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4E3F77"/>
    <w:multiLevelType w:val="hybridMultilevel"/>
    <w:tmpl w:val="5B68338C"/>
    <w:lvl w:ilvl="0" w:tplc="5F1413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60154"/>
    <w:multiLevelType w:val="multilevel"/>
    <w:tmpl w:val="2D580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3B36B33"/>
    <w:multiLevelType w:val="hybridMultilevel"/>
    <w:tmpl w:val="C3AAC7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B3D"/>
    <w:multiLevelType w:val="multilevel"/>
    <w:tmpl w:val="41F23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8A40602"/>
    <w:multiLevelType w:val="hybridMultilevel"/>
    <w:tmpl w:val="3DB814FA"/>
    <w:lvl w:ilvl="0" w:tplc="E6307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C5EF9"/>
    <w:multiLevelType w:val="hybridMultilevel"/>
    <w:tmpl w:val="A78AC9CA"/>
    <w:lvl w:ilvl="0" w:tplc="040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87A2B5E"/>
    <w:multiLevelType w:val="hybridMultilevel"/>
    <w:tmpl w:val="4C083C1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825B8A"/>
    <w:multiLevelType w:val="hybridMultilevel"/>
    <w:tmpl w:val="01E2B75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752B59"/>
    <w:multiLevelType w:val="hybridMultilevel"/>
    <w:tmpl w:val="0626302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99389">
    <w:abstractNumId w:val="9"/>
  </w:num>
  <w:num w:numId="2" w16cid:durableId="1957638215">
    <w:abstractNumId w:val="13"/>
  </w:num>
  <w:num w:numId="3" w16cid:durableId="1472863610">
    <w:abstractNumId w:val="6"/>
  </w:num>
  <w:num w:numId="4" w16cid:durableId="456222009">
    <w:abstractNumId w:val="2"/>
  </w:num>
  <w:num w:numId="5" w16cid:durableId="756555319">
    <w:abstractNumId w:val="8"/>
  </w:num>
  <w:num w:numId="6" w16cid:durableId="1356349917">
    <w:abstractNumId w:val="15"/>
  </w:num>
  <w:num w:numId="7" w16cid:durableId="1552497255">
    <w:abstractNumId w:val="11"/>
  </w:num>
  <w:num w:numId="8" w16cid:durableId="1285498708">
    <w:abstractNumId w:val="5"/>
  </w:num>
  <w:num w:numId="9" w16cid:durableId="30543183">
    <w:abstractNumId w:val="3"/>
  </w:num>
  <w:num w:numId="10" w16cid:durableId="1238785576">
    <w:abstractNumId w:val="16"/>
  </w:num>
  <w:num w:numId="11" w16cid:durableId="1431852657">
    <w:abstractNumId w:val="1"/>
  </w:num>
  <w:num w:numId="12" w16cid:durableId="961614119">
    <w:abstractNumId w:val="14"/>
  </w:num>
  <w:num w:numId="13" w16cid:durableId="764307586">
    <w:abstractNumId w:val="4"/>
  </w:num>
  <w:num w:numId="14" w16cid:durableId="799764425">
    <w:abstractNumId w:val="0"/>
  </w:num>
  <w:num w:numId="15" w16cid:durableId="396586461">
    <w:abstractNumId w:val="12"/>
  </w:num>
  <w:num w:numId="16" w16cid:durableId="1530071959">
    <w:abstractNumId w:val="17"/>
  </w:num>
  <w:num w:numId="17" w16cid:durableId="149031365">
    <w:abstractNumId w:val="10"/>
  </w:num>
  <w:num w:numId="18" w16cid:durableId="2014184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72"/>
    <w:rsid w:val="00002AD5"/>
    <w:rsid w:val="0003000D"/>
    <w:rsid w:val="00036C28"/>
    <w:rsid w:val="00047A86"/>
    <w:rsid w:val="0005575B"/>
    <w:rsid w:val="00064C56"/>
    <w:rsid w:val="0007505B"/>
    <w:rsid w:val="00092A4B"/>
    <w:rsid w:val="00093CAC"/>
    <w:rsid w:val="000964B4"/>
    <w:rsid w:val="000D17D6"/>
    <w:rsid w:val="000D5E80"/>
    <w:rsid w:val="000D6914"/>
    <w:rsid w:val="000D6EC9"/>
    <w:rsid w:val="000D74A7"/>
    <w:rsid w:val="000E0521"/>
    <w:rsid w:val="000F05E0"/>
    <w:rsid w:val="00100025"/>
    <w:rsid w:val="00111877"/>
    <w:rsid w:val="00140947"/>
    <w:rsid w:val="00140B61"/>
    <w:rsid w:val="00144C27"/>
    <w:rsid w:val="001455BE"/>
    <w:rsid w:val="00147157"/>
    <w:rsid w:val="001575D2"/>
    <w:rsid w:val="00162646"/>
    <w:rsid w:val="0018367A"/>
    <w:rsid w:val="0018438E"/>
    <w:rsid w:val="00192779"/>
    <w:rsid w:val="001C7386"/>
    <w:rsid w:val="001F6CF9"/>
    <w:rsid w:val="00203997"/>
    <w:rsid w:val="002056F2"/>
    <w:rsid w:val="00216038"/>
    <w:rsid w:val="0021748A"/>
    <w:rsid w:val="00220108"/>
    <w:rsid w:val="00220AF5"/>
    <w:rsid w:val="00237F26"/>
    <w:rsid w:val="00242359"/>
    <w:rsid w:val="00253B03"/>
    <w:rsid w:val="002625D5"/>
    <w:rsid w:val="002633AF"/>
    <w:rsid w:val="00270014"/>
    <w:rsid w:val="00281FCD"/>
    <w:rsid w:val="00294534"/>
    <w:rsid w:val="002A1C43"/>
    <w:rsid w:val="002A767C"/>
    <w:rsid w:val="002B1963"/>
    <w:rsid w:val="002C4426"/>
    <w:rsid w:val="002D76C0"/>
    <w:rsid w:val="002E74C1"/>
    <w:rsid w:val="002E79BD"/>
    <w:rsid w:val="002F1D28"/>
    <w:rsid w:val="002F32CF"/>
    <w:rsid w:val="002F3497"/>
    <w:rsid w:val="00306772"/>
    <w:rsid w:val="00313F7B"/>
    <w:rsid w:val="00351D6E"/>
    <w:rsid w:val="00362D5E"/>
    <w:rsid w:val="00394755"/>
    <w:rsid w:val="003953BE"/>
    <w:rsid w:val="003955CA"/>
    <w:rsid w:val="003A7F4D"/>
    <w:rsid w:val="003C20FF"/>
    <w:rsid w:val="003C5644"/>
    <w:rsid w:val="003D1D0E"/>
    <w:rsid w:val="003E2E84"/>
    <w:rsid w:val="003E4E2D"/>
    <w:rsid w:val="003F5D2C"/>
    <w:rsid w:val="00407ADA"/>
    <w:rsid w:val="00430E2F"/>
    <w:rsid w:val="00442FBF"/>
    <w:rsid w:val="004518C7"/>
    <w:rsid w:val="00452376"/>
    <w:rsid w:val="004525CA"/>
    <w:rsid w:val="00453852"/>
    <w:rsid w:val="004545AF"/>
    <w:rsid w:val="0045634D"/>
    <w:rsid w:val="00495997"/>
    <w:rsid w:val="004A7EED"/>
    <w:rsid w:val="004B2807"/>
    <w:rsid w:val="004B29DA"/>
    <w:rsid w:val="004C28C3"/>
    <w:rsid w:val="004C77BE"/>
    <w:rsid w:val="004D28FB"/>
    <w:rsid w:val="004E12A7"/>
    <w:rsid w:val="00500591"/>
    <w:rsid w:val="0050161C"/>
    <w:rsid w:val="005127F0"/>
    <w:rsid w:val="00524818"/>
    <w:rsid w:val="00526A1F"/>
    <w:rsid w:val="00535EE5"/>
    <w:rsid w:val="00546908"/>
    <w:rsid w:val="00575D2E"/>
    <w:rsid w:val="0058489D"/>
    <w:rsid w:val="00590132"/>
    <w:rsid w:val="0059472E"/>
    <w:rsid w:val="00595445"/>
    <w:rsid w:val="005A3196"/>
    <w:rsid w:val="005C0254"/>
    <w:rsid w:val="005C3B36"/>
    <w:rsid w:val="005C45A7"/>
    <w:rsid w:val="005C4FE8"/>
    <w:rsid w:val="005C7002"/>
    <w:rsid w:val="005E50A6"/>
    <w:rsid w:val="005F2E5D"/>
    <w:rsid w:val="005F2FB4"/>
    <w:rsid w:val="005F52F2"/>
    <w:rsid w:val="00601473"/>
    <w:rsid w:val="00607404"/>
    <w:rsid w:val="00607FD0"/>
    <w:rsid w:val="00626522"/>
    <w:rsid w:val="00627AFF"/>
    <w:rsid w:val="0063474E"/>
    <w:rsid w:val="00636F8B"/>
    <w:rsid w:val="00642E5E"/>
    <w:rsid w:val="0065293A"/>
    <w:rsid w:val="006622F7"/>
    <w:rsid w:val="00663296"/>
    <w:rsid w:val="00663E8F"/>
    <w:rsid w:val="0066593B"/>
    <w:rsid w:val="00666599"/>
    <w:rsid w:val="006869DE"/>
    <w:rsid w:val="006905C8"/>
    <w:rsid w:val="006A79A2"/>
    <w:rsid w:val="006B195C"/>
    <w:rsid w:val="006B5BBC"/>
    <w:rsid w:val="006B7149"/>
    <w:rsid w:val="006C2858"/>
    <w:rsid w:val="006E2900"/>
    <w:rsid w:val="006E4C15"/>
    <w:rsid w:val="006F0703"/>
    <w:rsid w:val="006F1FC9"/>
    <w:rsid w:val="00707482"/>
    <w:rsid w:val="00710657"/>
    <w:rsid w:val="007257B9"/>
    <w:rsid w:val="007442D5"/>
    <w:rsid w:val="0075518C"/>
    <w:rsid w:val="00762578"/>
    <w:rsid w:val="007670A4"/>
    <w:rsid w:val="007716DC"/>
    <w:rsid w:val="007720E7"/>
    <w:rsid w:val="00781A47"/>
    <w:rsid w:val="007C3E04"/>
    <w:rsid w:val="008105B1"/>
    <w:rsid w:val="00811165"/>
    <w:rsid w:val="00812A32"/>
    <w:rsid w:val="00822A82"/>
    <w:rsid w:val="00874B8A"/>
    <w:rsid w:val="0088474C"/>
    <w:rsid w:val="0089415A"/>
    <w:rsid w:val="00896028"/>
    <w:rsid w:val="008A7E73"/>
    <w:rsid w:val="008C05DF"/>
    <w:rsid w:val="008C22AF"/>
    <w:rsid w:val="008C4EA1"/>
    <w:rsid w:val="008D5B2A"/>
    <w:rsid w:val="008E3D13"/>
    <w:rsid w:val="008E43C4"/>
    <w:rsid w:val="008F5F7A"/>
    <w:rsid w:val="0090105D"/>
    <w:rsid w:val="00902DD4"/>
    <w:rsid w:val="00914847"/>
    <w:rsid w:val="0091729A"/>
    <w:rsid w:val="00917879"/>
    <w:rsid w:val="00922274"/>
    <w:rsid w:val="00932BB8"/>
    <w:rsid w:val="00934171"/>
    <w:rsid w:val="00937D65"/>
    <w:rsid w:val="00952EC5"/>
    <w:rsid w:val="00955D6F"/>
    <w:rsid w:val="00967C8A"/>
    <w:rsid w:val="00975735"/>
    <w:rsid w:val="00985FD5"/>
    <w:rsid w:val="00995EB7"/>
    <w:rsid w:val="00997378"/>
    <w:rsid w:val="009A34B4"/>
    <w:rsid w:val="009A4639"/>
    <w:rsid w:val="009B079A"/>
    <w:rsid w:val="009B169B"/>
    <w:rsid w:val="009B71B6"/>
    <w:rsid w:val="009C7CC1"/>
    <w:rsid w:val="009D2DB9"/>
    <w:rsid w:val="009D569F"/>
    <w:rsid w:val="009E4672"/>
    <w:rsid w:val="009E78F9"/>
    <w:rsid w:val="009F15FA"/>
    <w:rsid w:val="009F6503"/>
    <w:rsid w:val="00A0339D"/>
    <w:rsid w:val="00A13AA9"/>
    <w:rsid w:val="00A368C2"/>
    <w:rsid w:val="00A36F6B"/>
    <w:rsid w:val="00A4126F"/>
    <w:rsid w:val="00A4504F"/>
    <w:rsid w:val="00A4638B"/>
    <w:rsid w:val="00A50237"/>
    <w:rsid w:val="00A506E0"/>
    <w:rsid w:val="00A64640"/>
    <w:rsid w:val="00A71F49"/>
    <w:rsid w:val="00A7607A"/>
    <w:rsid w:val="00A76632"/>
    <w:rsid w:val="00A84488"/>
    <w:rsid w:val="00A85A5F"/>
    <w:rsid w:val="00A968FA"/>
    <w:rsid w:val="00AB243F"/>
    <w:rsid w:val="00AB66BF"/>
    <w:rsid w:val="00AC41A9"/>
    <w:rsid w:val="00AE04AA"/>
    <w:rsid w:val="00B04798"/>
    <w:rsid w:val="00B17F56"/>
    <w:rsid w:val="00B26FBF"/>
    <w:rsid w:val="00B33551"/>
    <w:rsid w:val="00B74557"/>
    <w:rsid w:val="00B76BC9"/>
    <w:rsid w:val="00B804C7"/>
    <w:rsid w:val="00B81768"/>
    <w:rsid w:val="00B81E2D"/>
    <w:rsid w:val="00B86788"/>
    <w:rsid w:val="00B87CC6"/>
    <w:rsid w:val="00B91275"/>
    <w:rsid w:val="00B92499"/>
    <w:rsid w:val="00B941E9"/>
    <w:rsid w:val="00BA3488"/>
    <w:rsid w:val="00BA7D09"/>
    <w:rsid w:val="00BB476A"/>
    <w:rsid w:val="00BC00CC"/>
    <w:rsid w:val="00BC49B1"/>
    <w:rsid w:val="00BD2D7D"/>
    <w:rsid w:val="00BF5AA3"/>
    <w:rsid w:val="00C07291"/>
    <w:rsid w:val="00C1256D"/>
    <w:rsid w:val="00C14885"/>
    <w:rsid w:val="00C2141B"/>
    <w:rsid w:val="00C23CF8"/>
    <w:rsid w:val="00C26ADF"/>
    <w:rsid w:val="00C45361"/>
    <w:rsid w:val="00C52091"/>
    <w:rsid w:val="00C619CA"/>
    <w:rsid w:val="00C7448C"/>
    <w:rsid w:val="00C77F63"/>
    <w:rsid w:val="00C83998"/>
    <w:rsid w:val="00C86026"/>
    <w:rsid w:val="00C91C01"/>
    <w:rsid w:val="00C95FA3"/>
    <w:rsid w:val="00CB7FA9"/>
    <w:rsid w:val="00CF0720"/>
    <w:rsid w:val="00D04B26"/>
    <w:rsid w:val="00D1793D"/>
    <w:rsid w:val="00D23AE4"/>
    <w:rsid w:val="00D2579D"/>
    <w:rsid w:val="00D34FD1"/>
    <w:rsid w:val="00D43649"/>
    <w:rsid w:val="00D50707"/>
    <w:rsid w:val="00D5126D"/>
    <w:rsid w:val="00D537AE"/>
    <w:rsid w:val="00D662F0"/>
    <w:rsid w:val="00D67A41"/>
    <w:rsid w:val="00D712D1"/>
    <w:rsid w:val="00D93B97"/>
    <w:rsid w:val="00D96B47"/>
    <w:rsid w:val="00DA592B"/>
    <w:rsid w:val="00DA6F73"/>
    <w:rsid w:val="00DB2E86"/>
    <w:rsid w:val="00DB5938"/>
    <w:rsid w:val="00DC361F"/>
    <w:rsid w:val="00DD0FFC"/>
    <w:rsid w:val="00DD2BC7"/>
    <w:rsid w:val="00DD4B30"/>
    <w:rsid w:val="00DD680E"/>
    <w:rsid w:val="00DE198D"/>
    <w:rsid w:val="00DE4C2A"/>
    <w:rsid w:val="00DE6946"/>
    <w:rsid w:val="00DE7E61"/>
    <w:rsid w:val="00DF28A3"/>
    <w:rsid w:val="00E426F8"/>
    <w:rsid w:val="00E44E56"/>
    <w:rsid w:val="00E44FA7"/>
    <w:rsid w:val="00E543F7"/>
    <w:rsid w:val="00E63275"/>
    <w:rsid w:val="00E8636F"/>
    <w:rsid w:val="00E87710"/>
    <w:rsid w:val="00E93F57"/>
    <w:rsid w:val="00EA198D"/>
    <w:rsid w:val="00EB0911"/>
    <w:rsid w:val="00EC50B3"/>
    <w:rsid w:val="00EC7B4E"/>
    <w:rsid w:val="00EE34C6"/>
    <w:rsid w:val="00EE5C1B"/>
    <w:rsid w:val="00F004AB"/>
    <w:rsid w:val="00F03E1A"/>
    <w:rsid w:val="00F354D7"/>
    <w:rsid w:val="00F5013B"/>
    <w:rsid w:val="00F56283"/>
    <w:rsid w:val="00F63ABA"/>
    <w:rsid w:val="00F70B48"/>
    <w:rsid w:val="00F751FB"/>
    <w:rsid w:val="00FB0FF5"/>
    <w:rsid w:val="00FC2996"/>
    <w:rsid w:val="00FC6AA5"/>
    <w:rsid w:val="00FD3A80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12DA2"/>
  <w15:chartTrackingRefBased/>
  <w15:docId w15:val="{7B832A0C-F946-466B-BA14-E0C244A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2DB9"/>
    <w:pPr>
      <w:keepNext/>
      <w:autoSpaceDE w:val="0"/>
      <w:autoSpaceDN w:val="0"/>
      <w:jc w:val="center"/>
      <w:outlineLvl w:val="0"/>
    </w:pPr>
    <w:rPr>
      <w:rFonts w:ascii="HebarU" w:hAnsi="HebarU"/>
      <w:b/>
      <w:bCs/>
    </w:rPr>
  </w:style>
  <w:style w:type="paragraph" w:styleId="2">
    <w:name w:val="heading 2"/>
    <w:basedOn w:val="a"/>
    <w:next w:val="a"/>
    <w:link w:val="20"/>
    <w:qFormat/>
    <w:rsid w:val="009D2DB9"/>
    <w:pPr>
      <w:keepNext/>
      <w:ind w:left="5040"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D2DB9"/>
    <w:pPr>
      <w:keepNext/>
      <w:autoSpaceDE w:val="0"/>
      <w:autoSpaceDN w:val="0"/>
      <w:jc w:val="right"/>
      <w:outlineLvl w:val="2"/>
    </w:pPr>
    <w:rPr>
      <w:rFonts w:ascii="HebarU" w:hAnsi="HebarU"/>
    </w:rPr>
  </w:style>
  <w:style w:type="paragraph" w:styleId="6">
    <w:name w:val="heading 6"/>
    <w:basedOn w:val="a"/>
    <w:next w:val="a"/>
    <w:link w:val="60"/>
    <w:qFormat/>
    <w:rsid w:val="009D2D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2DB9"/>
    <w:rPr>
      <w:rFonts w:ascii="HebarU" w:hAnsi="HebarU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9D2DB9"/>
    <w:rPr>
      <w:b/>
      <w:sz w:val="24"/>
      <w:szCs w:val="24"/>
    </w:rPr>
  </w:style>
  <w:style w:type="character" w:customStyle="1" w:styleId="30">
    <w:name w:val="Заглавие 3 Знак"/>
    <w:basedOn w:val="a0"/>
    <w:link w:val="3"/>
    <w:rsid w:val="009D2DB9"/>
    <w:rPr>
      <w:rFonts w:ascii="HebarU" w:hAnsi="HebarU"/>
      <w:sz w:val="24"/>
      <w:szCs w:val="24"/>
    </w:rPr>
  </w:style>
  <w:style w:type="character" w:customStyle="1" w:styleId="60">
    <w:name w:val="Заглавие 6 Знак"/>
    <w:basedOn w:val="a0"/>
    <w:link w:val="6"/>
    <w:rsid w:val="009D2DB9"/>
    <w:rPr>
      <w:b/>
      <w:bCs/>
      <w:sz w:val="22"/>
      <w:szCs w:val="22"/>
      <w:lang w:val="en-GB"/>
    </w:rPr>
  </w:style>
  <w:style w:type="character" w:customStyle="1" w:styleId="samedocreference1">
    <w:name w:val="samedocreference1"/>
    <w:basedOn w:val="a0"/>
    <w:rsid w:val="00575D2E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575D2E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a0"/>
    <w:rsid w:val="00575D2E"/>
    <w:rPr>
      <w:i w:val="0"/>
      <w:iCs w:val="0"/>
      <w:color w:val="8B0000"/>
      <w:u w:val="single"/>
    </w:rPr>
  </w:style>
  <w:style w:type="character" w:customStyle="1" w:styleId="newdocreference2">
    <w:name w:val="newdocreference2"/>
    <w:basedOn w:val="a0"/>
    <w:rsid w:val="00575D2E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575D2E"/>
    <w:rPr>
      <w:i w:val="0"/>
      <w:iCs w:val="0"/>
      <w:color w:val="0000FF"/>
      <w:u w:val="single"/>
    </w:rPr>
  </w:style>
  <w:style w:type="character" w:styleId="a3">
    <w:name w:val="Hyperlink"/>
    <w:basedOn w:val="a0"/>
    <w:uiPriority w:val="99"/>
    <w:unhideWhenUsed/>
    <w:rsid w:val="00B912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127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442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AE04A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E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AE04AA"/>
    <w:rPr>
      <w:sz w:val="24"/>
      <w:szCs w:val="24"/>
    </w:rPr>
  </w:style>
  <w:style w:type="paragraph" w:customStyle="1" w:styleId="21">
    <w:name w:val="Списък на абзаци2"/>
    <w:basedOn w:val="a"/>
    <w:rsid w:val="00666599"/>
    <w:pPr>
      <w:suppressAutoHyphens/>
      <w:spacing w:after="200" w:line="276" w:lineRule="auto"/>
      <w:ind w:left="720"/>
    </w:pPr>
    <w:rPr>
      <w:rFonts w:ascii="Calibri" w:eastAsia="SimSun" w:hAnsi="Calibri" w:cs="font595"/>
      <w:sz w:val="22"/>
      <w:szCs w:val="22"/>
      <w:lang w:val="en-US" w:eastAsia="ar-SA"/>
    </w:rPr>
  </w:style>
  <w:style w:type="paragraph" w:styleId="aa">
    <w:name w:val="Revision"/>
    <w:hidden/>
    <w:uiPriority w:val="99"/>
    <w:semiHidden/>
    <w:rsid w:val="00FD49FD"/>
    <w:pPr>
      <w:spacing w:after="0" w:line="240" w:lineRule="auto"/>
    </w:pPr>
    <w:rPr>
      <w:sz w:val="24"/>
      <w:szCs w:val="24"/>
    </w:rPr>
  </w:style>
  <w:style w:type="paragraph" w:customStyle="1" w:styleId="31">
    <w:name w:val="Списък на абзаци3"/>
    <w:basedOn w:val="a"/>
    <w:rsid w:val="00B92499"/>
    <w:pPr>
      <w:suppressAutoHyphens/>
      <w:spacing w:after="200" w:line="276" w:lineRule="auto"/>
      <w:ind w:left="720"/>
    </w:pPr>
    <w:rPr>
      <w:rFonts w:ascii="Calibri" w:eastAsia="SimSun" w:hAnsi="Calibri" w:cs="font596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5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vladimir.pilchev@lidl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7D96-76E8-477F-B433-F3171F36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2141</Words>
  <Characters>12206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 Гавраков</dc:creator>
  <cp:keywords/>
  <dc:description/>
  <cp:lastModifiedBy>Калин Гавраков</cp:lastModifiedBy>
  <cp:revision>158</cp:revision>
  <dcterms:created xsi:type="dcterms:W3CDTF">2022-06-27T10:51:00Z</dcterms:created>
  <dcterms:modified xsi:type="dcterms:W3CDTF">2022-07-12T10:18:00Z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